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79"/>
        <w:spacing w:after="0"/>
        <w:rPr>
          <w:sz w:val="20"/>
          <w:szCs w:val="20"/>
          <w:color w:val="auto"/>
        </w:rPr>
      </w:pPr>
      <w:r>
        <w:rPr>
          <w:rFonts w:ascii="Arial" w:cs="Arial" w:eastAsia="Arial" w:hAnsi="Arial"/>
          <w:sz w:val="28"/>
          <w:szCs w:val="28"/>
          <w:b w:val="1"/>
          <w:bCs w:val="1"/>
          <w:color w:val="auto"/>
        </w:rPr>
        <w:drawing>
          <wp:anchor simplePos="0" relativeHeight="251657728" behindDoc="1" locked="0" layoutInCell="0" allowOverlap="1">
            <wp:simplePos x="0" y="0"/>
            <wp:positionH relativeFrom="page">
              <wp:posOffset>428625</wp:posOffset>
            </wp:positionH>
            <wp:positionV relativeFrom="page">
              <wp:posOffset>815975</wp:posOffset>
            </wp:positionV>
            <wp:extent cx="669544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695440" cy="7620"/>
                    </a:xfrm>
                    <a:prstGeom prst="rect">
                      <a:avLst/>
                    </a:prstGeom>
                    <a:noFill/>
                  </pic:spPr>
                </pic:pic>
              </a:graphicData>
            </a:graphic>
          </wp:anchor>
        </w:drawing>
        <w:drawing>
          <wp:anchor simplePos="0" relativeHeight="251657728" behindDoc="1" locked="0" layoutInCell="0" allowOverlap="1">
            <wp:simplePos x="0" y="0"/>
            <wp:positionH relativeFrom="page">
              <wp:posOffset>428625</wp:posOffset>
            </wp:positionH>
            <wp:positionV relativeFrom="page">
              <wp:posOffset>838200</wp:posOffset>
            </wp:positionV>
            <wp:extent cx="6695440" cy="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695440" cy="7620"/>
                    </a:xfrm>
                    <a:prstGeom prst="rect">
                      <a:avLst/>
                    </a:prstGeom>
                    <a:noFill/>
                  </pic:spPr>
                </pic:pic>
              </a:graphicData>
            </a:graphic>
          </wp:anchor>
        </w:drawing>
        <w:t>UNITED STATES</w:t>
      </w:r>
    </w:p>
    <w:p>
      <w:pPr>
        <w:spacing w:after="0" w:line="40" w:lineRule="exact"/>
        <w:rPr>
          <w:sz w:val="24"/>
          <w:szCs w:val="24"/>
          <w:color w:val="auto"/>
        </w:rPr>
      </w:pPr>
    </w:p>
    <w:p>
      <w:pPr>
        <w:jc w:val="center"/>
        <w:ind w:right="-79"/>
        <w:spacing w:after="0"/>
        <w:rPr>
          <w:sz w:val="20"/>
          <w:szCs w:val="20"/>
          <w:color w:val="auto"/>
        </w:rPr>
      </w:pPr>
      <w:r>
        <w:rPr>
          <w:rFonts w:ascii="Arial" w:cs="Arial" w:eastAsia="Arial" w:hAnsi="Arial"/>
          <w:sz w:val="28"/>
          <w:szCs w:val="28"/>
          <w:b w:val="1"/>
          <w:bCs w:val="1"/>
          <w:color w:val="auto"/>
        </w:rPr>
        <w:t>SECURITIES AND EXCHANGE COMMISSION</w:t>
      </w:r>
    </w:p>
    <w:p>
      <w:pPr>
        <w:spacing w:after="0" w:line="9" w:lineRule="exact"/>
        <w:rPr>
          <w:sz w:val="24"/>
          <w:szCs w:val="24"/>
          <w:color w:val="auto"/>
        </w:rPr>
      </w:pPr>
    </w:p>
    <w:p>
      <w:pPr>
        <w:jc w:val="center"/>
        <w:ind w:right="-99"/>
        <w:spacing w:after="0"/>
        <w:rPr>
          <w:sz w:val="20"/>
          <w:szCs w:val="20"/>
          <w:color w:val="auto"/>
        </w:rPr>
      </w:pPr>
      <w:r>
        <w:rPr>
          <w:rFonts w:ascii="Arial" w:cs="Arial" w:eastAsia="Arial" w:hAnsi="Arial"/>
          <w:sz w:val="19"/>
          <w:szCs w:val="19"/>
          <w:b w:val="1"/>
          <w:bCs w:val="1"/>
          <w:color w:val="auto"/>
        </w:rPr>
        <w:t>Washington, D.C. 20549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2048510</wp:posOffset>
            </wp:positionH>
            <wp:positionV relativeFrom="paragraph">
              <wp:posOffset>88265</wp:posOffset>
            </wp:positionV>
            <wp:extent cx="2618740" cy="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2618740" cy="7620"/>
                    </a:xfrm>
                    <a:prstGeom prst="rect">
                      <a:avLst/>
                    </a:prstGeom>
                    <a:noFill/>
                  </pic:spPr>
                </pic:pic>
              </a:graphicData>
            </a:graphic>
          </wp:anchor>
        </w:drawing>
      </w:r>
    </w:p>
    <w:p>
      <w:pPr>
        <w:spacing w:after="0" w:line="170" w:lineRule="exact"/>
        <w:rPr>
          <w:sz w:val="24"/>
          <w:szCs w:val="24"/>
          <w:color w:val="auto"/>
        </w:rPr>
      </w:pPr>
    </w:p>
    <w:p>
      <w:pPr>
        <w:jc w:val="center"/>
        <w:ind w:right="-79"/>
        <w:spacing w:after="0"/>
        <w:rPr>
          <w:sz w:val="20"/>
          <w:szCs w:val="20"/>
          <w:color w:val="auto"/>
        </w:rPr>
      </w:pPr>
      <w:r>
        <w:rPr>
          <w:rFonts w:ascii="Arial" w:cs="Arial" w:eastAsia="Arial" w:hAnsi="Arial"/>
          <w:sz w:val="28"/>
          <w:szCs w:val="28"/>
          <w:b w:val="1"/>
          <w:bCs w:val="1"/>
          <w:color w:val="auto"/>
        </w:rPr>
        <w:t>FORM 10-Q</w:t>
      </w:r>
    </w:p>
    <w:p>
      <w:pPr>
        <w:spacing w:after="0" w:line="37" w:lineRule="exact"/>
        <w:rPr>
          <w:sz w:val="24"/>
          <w:szCs w:val="24"/>
          <w:color w:val="auto"/>
        </w:rPr>
      </w:pPr>
    </w:p>
    <w:p>
      <w:pPr>
        <w:spacing w:after="0"/>
        <w:rPr>
          <w:sz w:val="20"/>
          <w:szCs w:val="20"/>
          <w:color w:val="auto"/>
        </w:rPr>
      </w:pPr>
      <w:r>
        <w:rPr>
          <w:rFonts w:ascii="Arial" w:cs="Arial" w:eastAsia="Arial" w:hAnsi="Arial"/>
          <w:sz w:val="13"/>
          <w:szCs w:val="13"/>
          <w:color w:val="auto"/>
        </w:rPr>
        <w:t>(Mark One)</w:t>
      </w:r>
    </w:p>
    <w:p>
      <w:pPr>
        <w:spacing w:after="0" w:line="92" w:lineRule="exact"/>
        <w:rPr>
          <w:sz w:val="24"/>
          <w:szCs w:val="24"/>
          <w:color w:val="auto"/>
        </w:rPr>
      </w:pPr>
    </w:p>
    <w:p>
      <w:pPr>
        <w:ind w:left="640" w:hanging="625"/>
        <w:spacing w:after="0"/>
        <w:tabs>
          <w:tab w:leader="none" w:pos="640" w:val="left"/>
        </w:tabs>
        <w:numPr>
          <w:ilvl w:val="0"/>
          <w:numId w:val="1"/>
        </w:numPr>
        <w:rPr>
          <w:rFonts w:ascii="MS PGothic" w:cs="MS PGothic" w:eastAsia="MS PGothic" w:hAnsi="MS PGothic"/>
          <w:sz w:val="18"/>
          <w:szCs w:val="18"/>
          <w:color w:val="auto"/>
        </w:rPr>
      </w:pPr>
      <w:r>
        <w:rPr>
          <w:rFonts w:ascii="Arial" w:cs="Arial" w:eastAsia="Arial" w:hAnsi="Arial"/>
          <w:sz w:val="18"/>
          <w:szCs w:val="18"/>
          <w:b w:val="1"/>
          <w:bCs w:val="1"/>
          <w:color w:val="auto"/>
        </w:rPr>
        <w:t>QUARTERLY REPORT PURSUANT TO SECTION 13 OR 15(D) OF THE SECURITIES EXCHANGE ACT OF 1934</w:t>
      </w:r>
    </w:p>
    <w:p>
      <w:pPr>
        <w:spacing w:after="0" w:line="95" w:lineRule="exact"/>
        <w:rPr>
          <w:sz w:val="24"/>
          <w:szCs w:val="24"/>
          <w:color w:val="auto"/>
        </w:rPr>
      </w:pPr>
    </w:p>
    <w:p>
      <w:pPr>
        <w:jc w:val="center"/>
        <w:ind w:right="-99"/>
        <w:spacing w:after="0"/>
        <w:rPr>
          <w:sz w:val="20"/>
          <w:szCs w:val="20"/>
          <w:color w:val="auto"/>
        </w:rPr>
      </w:pPr>
      <w:r>
        <w:rPr>
          <w:rFonts w:ascii="Arial" w:cs="Arial" w:eastAsia="Arial" w:hAnsi="Arial"/>
          <w:sz w:val="15"/>
          <w:szCs w:val="15"/>
          <w:color w:val="auto"/>
        </w:rPr>
        <w:t>For the quarterly period ended April 30, 2023</w:t>
      </w:r>
    </w:p>
    <w:p>
      <w:pPr>
        <w:spacing w:after="0" w:line="13" w:lineRule="exact"/>
        <w:rPr>
          <w:sz w:val="24"/>
          <w:szCs w:val="24"/>
          <w:color w:val="auto"/>
        </w:rPr>
      </w:pPr>
    </w:p>
    <w:p>
      <w:pPr>
        <w:jc w:val="center"/>
        <w:ind w:right="-79"/>
        <w:spacing w:after="0"/>
        <w:rPr>
          <w:sz w:val="20"/>
          <w:szCs w:val="20"/>
          <w:color w:val="auto"/>
        </w:rPr>
      </w:pPr>
      <w:r>
        <w:rPr>
          <w:rFonts w:ascii="Arial" w:cs="Arial" w:eastAsia="Arial" w:hAnsi="Arial"/>
          <w:sz w:val="15"/>
          <w:szCs w:val="15"/>
          <w:color w:val="auto"/>
        </w:rPr>
        <w:t>or</w:t>
      </w:r>
    </w:p>
    <w:p>
      <w:pPr>
        <w:spacing w:after="0" w:line="90" w:lineRule="exact"/>
        <w:rPr>
          <w:sz w:val="24"/>
          <w:szCs w:val="24"/>
          <w:color w:val="auto"/>
        </w:rPr>
      </w:pPr>
    </w:p>
    <w:p>
      <w:pPr>
        <w:ind w:left="640" w:hanging="625"/>
        <w:spacing w:after="0"/>
        <w:tabs>
          <w:tab w:leader="none" w:pos="640" w:val="left"/>
        </w:tabs>
        <w:numPr>
          <w:ilvl w:val="0"/>
          <w:numId w:val="2"/>
        </w:numPr>
        <w:rPr>
          <w:rFonts w:ascii="MS PGothic" w:cs="MS PGothic" w:eastAsia="MS PGothic" w:hAnsi="MS PGothic"/>
          <w:sz w:val="18"/>
          <w:szCs w:val="18"/>
          <w:color w:val="auto"/>
        </w:rPr>
      </w:pPr>
      <w:r>
        <w:rPr>
          <w:rFonts w:ascii="Arial" w:cs="Arial" w:eastAsia="Arial" w:hAnsi="Arial"/>
          <w:sz w:val="18"/>
          <w:szCs w:val="18"/>
          <w:b w:val="1"/>
          <w:bCs w:val="1"/>
          <w:color w:val="auto"/>
        </w:rPr>
        <w:t>TRANSITION REPORT PURSUANT TO SECTION 13 OR 15(D) OF THE SECURITIES EXCHANGE ACT OF 1934</w:t>
      </w:r>
    </w:p>
    <w:p>
      <w:pPr>
        <w:spacing w:after="0" w:line="95" w:lineRule="exact"/>
        <w:rPr>
          <w:sz w:val="24"/>
          <w:szCs w:val="24"/>
          <w:color w:val="auto"/>
        </w:rPr>
      </w:pPr>
    </w:p>
    <w:p>
      <w:pPr>
        <w:ind w:left="3720"/>
        <w:spacing w:after="0"/>
        <w:tabs>
          <w:tab w:leader="none" w:pos="6200" w:val="left"/>
        </w:tabs>
        <w:rPr>
          <w:sz w:val="20"/>
          <w:szCs w:val="20"/>
          <w:color w:val="auto"/>
        </w:rPr>
      </w:pPr>
      <w:r>
        <w:rPr>
          <w:rFonts w:ascii="Arial" w:cs="Arial" w:eastAsia="Arial" w:hAnsi="Arial"/>
          <w:sz w:val="15"/>
          <w:szCs w:val="15"/>
          <w:color w:val="auto"/>
        </w:rPr>
        <w:t>For the transition period from</w:t>
      </w:r>
      <w:r>
        <w:rPr>
          <w:sz w:val="20"/>
          <w:szCs w:val="20"/>
          <w:color w:val="auto"/>
        </w:rPr>
        <w:tab/>
      </w:r>
      <w:r>
        <w:rPr>
          <w:rFonts w:ascii="Arial" w:cs="Arial" w:eastAsia="Arial" w:hAnsi="Arial"/>
          <w:sz w:val="14"/>
          <w:szCs w:val="14"/>
          <w:color w:val="auto"/>
        </w:rPr>
        <w:t>to</w:t>
      </w:r>
    </w:p>
    <w:p>
      <w:pPr>
        <w:spacing w:after="0" w:line="13" w:lineRule="exact"/>
        <w:rPr>
          <w:sz w:val="24"/>
          <w:szCs w:val="24"/>
          <w:color w:val="auto"/>
        </w:rPr>
      </w:pPr>
    </w:p>
    <w:p>
      <w:pPr>
        <w:ind w:left="4120"/>
        <w:spacing w:after="0"/>
        <w:rPr>
          <w:sz w:val="20"/>
          <w:szCs w:val="20"/>
          <w:color w:val="auto"/>
        </w:rPr>
      </w:pPr>
      <w:r>
        <w:rPr>
          <w:rFonts w:ascii="Arial" w:cs="Arial" w:eastAsia="Arial" w:hAnsi="Arial"/>
          <w:sz w:val="15"/>
          <w:szCs w:val="15"/>
          <w:color w:val="auto"/>
        </w:rPr>
        <w:t>Commission File Number: 0-14338</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2048510</wp:posOffset>
            </wp:positionH>
            <wp:positionV relativeFrom="paragraph">
              <wp:posOffset>201295</wp:posOffset>
            </wp:positionV>
            <wp:extent cx="2618740" cy="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618740" cy="7620"/>
                    </a:xfrm>
                    <a:prstGeom prst="rect">
                      <a:avLst/>
                    </a:prstGeom>
                    <a:noFill/>
                  </pic:spPr>
                </pic:pic>
              </a:graphicData>
            </a:graphic>
          </wp:anchor>
        </w:drawing>
      </w:r>
    </w:p>
    <w:p>
      <w:pPr>
        <w:spacing w:after="0" w:line="345" w:lineRule="exact"/>
        <w:rPr>
          <w:sz w:val="24"/>
          <w:szCs w:val="24"/>
          <w:color w:val="auto"/>
        </w:rPr>
      </w:pPr>
    </w:p>
    <w:tbl>
      <w:tblPr>
        <w:tblLayout w:type="fixed"/>
        <w:tblInd w:w="240" w:type="dxa"/>
        <w:tblCellMar>
          <w:top w:w="0" w:type="dxa"/>
          <w:left w:w="0" w:type="dxa"/>
          <w:bottom w:w="0" w:type="dxa"/>
          <w:right w:w="0" w:type="dxa"/>
        </w:tblCellMar>
      </w:tblPr>
      <w:tr>
        <w:trPr>
          <w:trHeight w:val="464"/>
        </w:trPr>
        <w:tc>
          <w:tcPr>
            <w:tcW w:w="25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380" w:type="dxa"/>
            <w:vAlign w:val="bottom"/>
            <w:gridSpan w:val="2"/>
          </w:tcPr>
          <w:p>
            <w:pPr>
              <w:jc w:val="center"/>
              <w:ind w:right="1040"/>
              <w:spacing w:after="0"/>
              <w:rPr>
                <w:sz w:val="20"/>
                <w:szCs w:val="20"/>
                <w:color w:val="auto"/>
              </w:rPr>
            </w:pPr>
            <w:r>
              <w:rPr>
                <w:rFonts w:ascii="Arial" w:cs="Arial" w:eastAsia="Arial" w:hAnsi="Arial"/>
                <w:sz w:val="37"/>
                <w:szCs w:val="37"/>
                <w:b w:val="1"/>
                <w:bCs w:val="1"/>
                <w:color w:val="auto"/>
              </w:rPr>
              <w:t>AUTODESK, INC.</w:t>
            </w:r>
          </w:p>
        </w:tc>
      </w:tr>
      <w:tr>
        <w:trPr>
          <w:trHeight w:val="181"/>
        </w:trPr>
        <w:tc>
          <w:tcPr>
            <w:tcW w:w="2520" w:type="dxa"/>
            <w:vAlign w:val="bottom"/>
          </w:tcPr>
          <w:p>
            <w:pPr>
              <w:spacing w:after="0"/>
              <w:rPr>
                <w:sz w:val="15"/>
                <w:szCs w:val="15"/>
                <w:color w:val="auto"/>
              </w:rPr>
            </w:pPr>
          </w:p>
        </w:tc>
        <w:tc>
          <w:tcPr>
            <w:tcW w:w="46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4380" w:type="dxa"/>
            <w:vAlign w:val="bottom"/>
            <w:gridSpan w:val="2"/>
          </w:tcPr>
          <w:p>
            <w:pPr>
              <w:jc w:val="center"/>
              <w:ind w:right="1060"/>
              <w:spacing w:after="0"/>
              <w:rPr>
                <w:sz w:val="20"/>
                <w:szCs w:val="20"/>
                <w:color w:val="auto"/>
              </w:rPr>
            </w:pPr>
            <w:r>
              <w:rPr>
                <w:rFonts w:ascii="Arial" w:cs="Arial" w:eastAsia="Arial" w:hAnsi="Arial"/>
                <w:sz w:val="13"/>
                <w:szCs w:val="13"/>
                <w:b w:val="1"/>
                <w:bCs w:val="1"/>
                <w:color w:val="auto"/>
                <w:w w:val="98"/>
              </w:rPr>
              <w:t>(Exact name of registrant as specified in its charter)</w:t>
            </w:r>
          </w:p>
        </w:tc>
      </w:tr>
      <w:tr>
        <w:trPr>
          <w:trHeight w:val="276"/>
        </w:trPr>
        <w:tc>
          <w:tcPr>
            <w:tcW w:w="2520" w:type="dxa"/>
            <w:vAlign w:val="bottom"/>
          </w:tcPr>
          <w:p>
            <w:pPr>
              <w:jc w:val="center"/>
              <w:ind w:right="50"/>
              <w:spacing w:after="0"/>
              <w:rPr>
                <w:sz w:val="20"/>
                <w:szCs w:val="20"/>
                <w:color w:val="auto"/>
              </w:rPr>
            </w:pPr>
            <w:r>
              <w:rPr>
                <w:rFonts w:ascii="Arial" w:cs="Arial" w:eastAsia="Arial" w:hAnsi="Arial"/>
                <w:sz w:val="15"/>
                <w:szCs w:val="15"/>
                <w:b w:val="1"/>
                <w:bCs w:val="1"/>
                <w:color w:val="auto"/>
              </w:rPr>
              <w:t>Delaware</w:t>
            </w:r>
          </w:p>
        </w:tc>
        <w:tc>
          <w:tcPr>
            <w:tcW w:w="4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380" w:type="dxa"/>
            <w:vAlign w:val="bottom"/>
            <w:gridSpan w:val="2"/>
          </w:tcPr>
          <w:p>
            <w:pPr>
              <w:jc w:val="center"/>
              <w:ind w:left="3198"/>
              <w:spacing w:after="0"/>
              <w:rPr>
                <w:sz w:val="20"/>
                <w:szCs w:val="20"/>
                <w:color w:val="auto"/>
              </w:rPr>
            </w:pPr>
            <w:r>
              <w:rPr>
                <w:rFonts w:ascii="Arial" w:cs="Arial" w:eastAsia="Arial" w:hAnsi="Arial"/>
                <w:sz w:val="15"/>
                <w:szCs w:val="15"/>
                <w:b w:val="1"/>
                <w:bCs w:val="1"/>
                <w:color w:val="auto"/>
              </w:rPr>
              <w:t>94-2819853</w:t>
            </w:r>
          </w:p>
        </w:tc>
      </w:tr>
      <w:tr>
        <w:trPr>
          <w:trHeight w:val="133"/>
        </w:trPr>
        <w:tc>
          <w:tcPr>
            <w:tcW w:w="2520" w:type="dxa"/>
            <w:vAlign w:val="bottom"/>
          </w:tcPr>
          <w:p>
            <w:pPr>
              <w:jc w:val="center"/>
              <w:ind w:right="50"/>
              <w:spacing w:after="0" w:line="133" w:lineRule="exact"/>
              <w:rPr>
                <w:sz w:val="20"/>
                <w:szCs w:val="20"/>
                <w:color w:val="auto"/>
              </w:rPr>
            </w:pPr>
            <w:r>
              <w:rPr>
                <w:rFonts w:ascii="Arial" w:cs="Arial" w:eastAsia="Arial" w:hAnsi="Arial"/>
                <w:sz w:val="13"/>
                <w:szCs w:val="13"/>
                <w:b w:val="1"/>
                <w:bCs w:val="1"/>
                <w:color w:val="auto"/>
                <w:w w:val="98"/>
              </w:rPr>
              <w:t>(State or other jurisdiction of</w:t>
            </w:r>
          </w:p>
        </w:tc>
        <w:tc>
          <w:tcPr>
            <w:tcW w:w="46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4380" w:type="dxa"/>
            <w:vAlign w:val="bottom"/>
            <w:gridSpan w:val="2"/>
          </w:tcPr>
          <w:p>
            <w:pPr>
              <w:jc w:val="center"/>
              <w:ind w:left="3198"/>
              <w:spacing w:after="0" w:line="133" w:lineRule="exact"/>
              <w:rPr>
                <w:sz w:val="20"/>
                <w:szCs w:val="20"/>
                <w:color w:val="auto"/>
              </w:rPr>
            </w:pPr>
            <w:r>
              <w:rPr>
                <w:rFonts w:ascii="Arial" w:cs="Arial" w:eastAsia="Arial" w:hAnsi="Arial"/>
                <w:sz w:val="13"/>
                <w:szCs w:val="13"/>
                <w:b w:val="1"/>
                <w:bCs w:val="1"/>
                <w:color w:val="auto"/>
                <w:w w:val="99"/>
              </w:rPr>
              <w:t>(I.R.S. employer</w:t>
            </w:r>
          </w:p>
        </w:tc>
      </w:tr>
      <w:tr>
        <w:trPr>
          <w:trHeight w:val="181"/>
        </w:trPr>
        <w:tc>
          <w:tcPr>
            <w:tcW w:w="2520" w:type="dxa"/>
            <w:vAlign w:val="bottom"/>
          </w:tcPr>
          <w:p>
            <w:pPr>
              <w:jc w:val="center"/>
              <w:ind w:right="50"/>
              <w:spacing w:after="0"/>
              <w:rPr>
                <w:sz w:val="20"/>
                <w:szCs w:val="20"/>
                <w:color w:val="auto"/>
              </w:rPr>
            </w:pPr>
            <w:r>
              <w:rPr>
                <w:rFonts w:ascii="Arial" w:cs="Arial" w:eastAsia="Arial" w:hAnsi="Arial"/>
                <w:sz w:val="13"/>
                <w:szCs w:val="13"/>
                <w:b w:val="1"/>
                <w:bCs w:val="1"/>
                <w:color w:val="auto"/>
                <w:w w:val="99"/>
              </w:rPr>
              <w:t>incorporation or organization)</w:t>
            </w:r>
          </w:p>
        </w:tc>
        <w:tc>
          <w:tcPr>
            <w:tcW w:w="46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4380" w:type="dxa"/>
            <w:vAlign w:val="bottom"/>
            <w:gridSpan w:val="2"/>
          </w:tcPr>
          <w:p>
            <w:pPr>
              <w:jc w:val="center"/>
              <w:ind w:left="3218"/>
              <w:spacing w:after="0"/>
              <w:rPr>
                <w:sz w:val="20"/>
                <w:szCs w:val="20"/>
                <w:color w:val="auto"/>
              </w:rPr>
            </w:pPr>
            <w:r>
              <w:rPr>
                <w:rFonts w:ascii="Arial" w:cs="Arial" w:eastAsia="Arial" w:hAnsi="Arial"/>
                <w:sz w:val="13"/>
                <w:szCs w:val="13"/>
                <w:b w:val="1"/>
                <w:bCs w:val="1"/>
                <w:color w:val="auto"/>
                <w:w w:val="98"/>
              </w:rPr>
              <w:t>Identification No.)</w:t>
            </w:r>
          </w:p>
        </w:tc>
      </w:tr>
      <w:tr>
        <w:trPr>
          <w:trHeight w:val="238"/>
        </w:trPr>
        <w:tc>
          <w:tcPr>
            <w:tcW w:w="2520" w:type="dxa"/>
            <w:vAlign w:val="bottom"/>
          </w:tcPr>
          <w:p>
            <w:pPr>
              <w:jc w:val="center"/>
              <w:ind w:right="70"/>
              <w:spacing w:after="0"/>
              <w:rPr>
                <w:sz w:val="20"/>
                <w:szCs w:val="20"/>
                <w:color w:val="auto"/>
              </w:rPr>
            </w:pPr>
            <w:r>
              <w:rPr>
                <w:rFonts w:ascii="Arial" w:cs="Arial" w:eastAsia="Arial" w:hAnsi="Arial"/>
                <w:sz w:val="15"/>
                <w:szCs w:val="15"/>
                <w:b w:val="1"/>
                <w:bCs w:val="1"/>
                <w:color w:val="auto"/>
              </w:rPr>
              <w:t>One Market Street, Ste. 400</w:t>
            </w:r>
          </w:p>
        </w:tc>
        <w:tc>
          <w:tcPr>
            <w:tcW w:w="46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37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199"/>
        </w:trPr>
        <w:tc>
          <w:tcPr>
            <w:tcW w:w="2520" w:type="dxa"/>
            <w:vAlign w:val="bottom"/>
          </w:tcPr>
          <w:p>
            <w:pPr>
              <w:jc w:val="center"/>
              <w:ind w:right="50"/>
              <w:spacing w:after="0"/>
              <w:rPr>
                <w:sz w:val="20"/>
                <w:szCs w:val="20"/>
                <w:color w:val="auto"/>
              </w:rPr>
            </w:pPr>
            <w:r>
              <w:rPr>
                <w:rFonts w:ascii="Arial" w:cs="Arial" w:eastAsia="Arial" w:hAnsi="Arial"/>
                <w:sz w:val="15"/>
                <w:szCs w:val="15"/>
                <w:b w:val="1"/>
                <w:bCs w:val="1"/>
                <w:color w:val="auto"/>
              </w:rPr>
              <w:t>San Francisco,</w:t>
            </w:r>
          </w:p>
        </w:tc>
        <w:tc>
          <w:tcPr>
            <w:tcW w:w="860" w:type="dxa"/>
            <w:vAlign w:val="bottom"/>
            <w:gridSpan w:val="2"/>
          </w:tcPr>
          <w:p>
            <w:pPr>
              <w:ind w:left="120"/>
              <w:spacing w:after="0"/>
              <w:rPr>
                <w:sz w:val="20"/>
                <w:szCs w:val="20"/>
                <w:color w:val="auto"/>
              </w:rPr>
            </w:pPr>
            <w:r>
              <w:rPr>
                <w:rFonts w:ascii="Arial" w:cs="Arial" w:eastAsia="Arial" w:hAnsi="Arial"/>
                <w:sz w:val="15"/>
                <w:szCs w:val="15"/>
                <w:b w:val="1"/>
                <w:bCs w:val="1"/>
                <w:color w:val="auto"/>
              </w:rPr>
              <w:t>California</w:t>
            </w:r>
          </w:p>
        </w:tc>
        <w:tc>
          <w:tcPr>
            <w:tcW w:w="4380" w:type="dxa"/>
            <w:vAlign w:val="bottom"/>
            <w:gridSpan w:val="2"/>
          </w:tcPr>
          <w:p>
            <w:pPr>
              <w:jc w:val="center"/>
              <w:ind w:left="3198"/>
              <w:spacing w:after="0"/>
              <w:rPr>
                <w:sz w:val="20"/>
                <w:szCs w:val="20"/>
                <w:color w:val="auto"/>
              </w:rPr>
            </w:pPr>
            <w:r>
              <w:rPr>
                <w:rFonts w:ascii="Arial" w:cs="Arial" w:eastAsia="Arial" w:hAnsi="Arial"/>
                <w:sz w:val="15"/>
                <w:szCs w:val="15"/>
                <w:b w:val="1"/>
                <w:bCs w:val="1"/>
                <w:color w:val="auto"/>
              </w:rPr>
              <w:t>94105</w:t>
            </w:r>
          </w:p>
        </w:tc>
      </w:tr>
      <w:tr>
        <w:trPr>
          <w:trHeight w:val="181"/>
        </w:trPr>
        <w:tc>
          <w:tcPr>
            <w:tcW w:w="2520" w:type="dxa"/>
            <w:vAlign w:val="bottom"/>
          </w:tcPr>
          <w:p>
            <w:pPr>
              <w:jc w:val="center"/>
              <w:ind w:right="50"/>
              <w:spacing w:after="0"/>
              <w:rPr>
                <w:sz w:val="20"/>
                <w:szCs w:val="20"/>
                <w:color w:val="auto"/>
              </w:rPr>
            </w:pPr>
            <w:r>
              <w:rPr>
                <w:rFonts w:ascii="Arial" w:cs="Arial" w:eastAsia="Arial" w:hAnsi="Arial"/>
                <w:sz w:val="13"/>
                <w:szCs w:val="13"/>
                <w:b w:val="1"/>
                <w:bCs w:val="1"/>
                <w:color w:val="auto"/>
                <w:w w:val="98"/>
              </w:rPr>
              <w:t>(Address of principal executive offices)</w:t>
            </w:r>
          </w:p>
        </w:tc>
        <w:tc>
          <w:tcPr>
            <w:tcW w:w="46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4380" w:type="dxa"/>
            <w:vAlign w:val="bottom"/>
            <w:gridSpan w:val="2"/>
          </w:tcPr>
          <w:p>
            <w:pPr>
              <w:jc w:val="center"/>
              <w:ind w:left="3198"/>
              <w:spacing w:after="0"/>
              <w:rPr>
                <w:sz w:val="20"/>
                <w:szCs w:val="20"/>
                <w:color w:val="auto"/>
              </w:rPr>
            </w:pPr>
            <w:r>
              <w:rPr>
                <w:rFonts w:ascii="Arial" w:cs="Arial" w:eastAsia="Arial" w:hAnsi="Arial"/>
                <w:sz w:val="13"/>
                <w:szCs w:val="13"/>
                <w:b w:val="1"/>
                <w:bCs w:val="1"/>
                <w:color w:val="auto"/>
                <w:w w:val="96"/>
              </w:rPr>
              <w:t>(Zip Code)</w:t>
            </w:r>
          </w:p>
        </w:tc>
      </w:tr>
      <w:tr>
        <w:trPr>
          <w:trHeight w:val="229"/>
        </w:trPr>
        <w:tc>
          <w:tcPr>
            <w:tcW w:w="252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3720" w:type="dxa"/>
            <w:vAlign w:val="bottom"/>
          </w:tcPr>
          <w:p>
            <w:pPr>
              <w:jc w:val="center"/>
              <w:ind w:right="318"/>
              <w:spacing w:after="0"/>
              <w:rPr>
                <w:sz w:val="20"/>
                <w:szCs w:val="20"/>
                <w:color w:val="auto"/>
              </w:rPr>
            </w:pPr>
            <w:r>
              <w:rPr>
                <w:rFonts w:ascii="Arial" w:cs="Arial" w:eastAsia="Arial" w:hAnsi="Arial"/>
                <w:sz w:val="15"/>
                <w:szCs w:val="15"/>
                <w:b w:val="1"/>
                <w:bCs w:val="1"/>
                <w:color w:val="auto"/>
              </w:rPr>
              <w:t>(415) 507-5000</w:t>
            </w:r>
          </w:p>
        </w:tc>
        <w:tc>
          <w:tcPr>
            <w:tcW w:w="660" w:type="dxa"/>
            <w:vAlign w:val="bottom"/>
          </w:tcPr>
          <w:p>
            <w:pPr>
              <w:spacing w:after="0"/>
              <w:rPr>
                <w:sz w:val="19"/>
                <w:szCs w:val="19"/>
                <w:color w:val="auto"/>
              </w:rPr>
            </w:pPr>
          </w:p>
        </w:tc>
      </w:tr>
      <w:tr>
        <w:trPr>
          <w:trHeight w:val="181"/>
        </w:trPr>
        <w:tc>
          <w:tcPr>
            <w:tcW w:w="2520" w:type="dxa"/>
            <w:vAlign w:val="bottom"/>
          </w:tcPr>
          <w:p>
            <w:pPr>
              <w:spacing w:after="0"/>
              <w:rPr>
                <w:sz w:val="15"/>
                <w:szCs w:val="15"/>
                <w:color w:val="auto"/>
              </w:rPr>
            </w:pPr>
          </w:p>
        </w:tc>
        <w:tc>
          <w:tcPr>
            <w:tcW w:w="46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4380" w:type="dxa"/>
            <w:vAlign w:val="bottom"/>
            <w:gridSpan w:val="2"/>
          </w:tcPr>
          <w:p>
            <w:pPr>
              <w:jc w:val="center"/>
              <w:ind w:right="1040"/>
              <w:spacing w:after="0"/>
              <w:rPr>
                <w:sz w:val="20"/>
                <w:szCs w:val="20"/>
                <w:color w:val="auto"/>
              </w:rPr>
            </w:pPr>
            <w:r>
              <w:rPr>
                <w:rFonts w:ascii="Arial" w:cs="Arial" w:eastAsia="Arial" w:hAnsi="Arial"/>
                <w:sz w:val="13"/>
                <w:szCs w:val="13"/>
                <w:b w:val="1"/>
                <w:bCs w:val="1"/>
                <w:color w:val="auto"/>
                <w:w w:val="98"/>
              </w:rPr>
              <w:t>(Registrant’s telephone number, including area code)</w:t>
            </w:r>
          </w:p>
        </w:tc>
      </w:tr>
      <w:tr>
        <w:trPr>
          <w:trHeight w:val="128"/>
        </w:trPr>
        <w:tc>
          <w:tcPr>
            <w:tcW w:w="25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400" w:type="dxa"/>
            <w:vAlign w:val="bottom"/>
            <w:tcBorders>
              <w:bottom w:val="single" w:sz="8" w:color="auto"/>
            </w:tcBorders>
          </w:tcPr>
          <w:p>
            <w:pPr>
              <w:spacing w:after="0"/>
              <w:rPr>
                <w:sz w:val="11"/>
                <w:szCs w:val="11"/>
                <w:color w:val="auto"/>
              </w:rPr>
            </w:pPr>
          </w:p>
        </w:tc>
        <w:tc>
          <w:tcPr>
            <w:tcW w:w="3720" w:type="dxa"/>
            <w:vAlign w:val="bottom"/>
            <w:tcBorders>
              <w:bottom w:val="single" w:sz="8" w:color="auto"/>
            </w:tcBorders>
          </w:tcPr>
          <w:p>
            <w:pPr>
              <w:spacing w:after="0"/>
              <w:rPr>
                <w:sz w:val="11"/>
                <w:szCs w:val="11"/>
                <w:color w:val="auto"/>
              </w:rPr>
            </w:pPr>
          </w:p>
        </w:tc>
        <w:tc>
          <w:tcPr>
            <w:tcW w:w="660" w:type="dxa"/>
            <w:vAlign w:val="bottom"/>
          </w:tcPr>
          <w:p>
            <w:pPr>
              <w:spacing w:after="0"/>
              <w:rPr>
                <w:sz w:val="11"/>
                <w:szCs w:val="11"/>
                <w:color w:val="auto"/>
              </w:rPr>
            </w:pPr>
          </w:p>
        </w:tc>
      </w:tr>
    </w:tbl>
    <w:p>
      <w:pPr>
        <w:spacing w:after="0" w:line="286" w:lineRule="exact"/>
        <w:rPr>
          <w:sz w:val="24"/>
          <w:szCs w:val="24"/>
          <w:color w:val="auto"/>
        </w:rPr>
      </w:pPr>
    </w:p>
    <w:p>
      <w:pPr>
        <w:spacing w:after="0"/>
        <w:rPr>
          <w:sz w:val="20"/>
          <w:szCs w:val="20"/>
          <w:color w:val="auto"/>
        </w:rPr>
      </w:pPr>
      <w:r>
        <w:rPr>
          <w:rFonts w:ascii="Arial" w:cs="Arial" w:eastAsia="Arial" w:hAnsi="Arial"/>
          <w:sz w:val="15"/>
          <w:szCs w:val="15"/>
          <w:color w:val="auto"/>
        </w:rPr>
        <w:t>Securities registered pursuant to Section 12(b) of the Act:</w:t>
      </w:r>
    </w:p>
    <w:p>
      <w:pPr>
        <w:sectPr>
          <w:pgSz w:w="11900" w:h="16840" w:orient="portrait"/>
          <w:cols w:equalWidth="0" w:num="1">
            <w:col w:w="10480"/>
          </w:cols>
          <w:pgMar w:left="660" w:top="1371" w:right="760" w:bottom="1440" w:gutter="0" w:footer="0" w:header="0"/>
        </w:sectPr>
      </w:pPr>
    </w:p>
    <w:p>
      <w:pPr>
        <w:spacing w:after="0" w:line="101" w:lineRule="exact"/>
        <w:rPr>
          <w:sz w:val="24"/>
          <w:szCs w:val="24"/>
          <w:color w:val="auto"/>
        </w:rPr>
      </w:pPr>
    </w:p>
    <w:p>
      <w:pPr>
        <w:ind w:left="1200"/>
        <w:spacing w:after="0"/>
        <w:rPr>
          <w:sz w:val="20"/>
          <w:szCs w:val="20"/>
          <w:color w:val="auto"/>
        </w:rPr>
      </w:pPr>
      <w:r>
        <w:rPr>
          <w:rFonts w:ascii="Arial" w:cs="Arial" w:eastAsia="Arial" w:hAnsi="Arial"/>
          <w:sz w:val="15"/>
          <w:szCs w:val="15"/>
          <w:b w:val="1"/>
          <w:bCs w:val="1"/>
          <w:color w:val="auto"/>
        </w:rPr>
        <w:t>Title of each class</w:t>
      </w:r>
    </w:p>
    <w:p>
      <w:pPr>
        <w:spacing w:after="0" w:line="20" w:lineRule="exact"/>
        <w:rPr>
          <w:sz w:val="24"/>
          <w:szCs w:val="24"/>
          <w:color w:val="auto"/>
        </w:rPr>
      </w:pPr>
      <w:r>
        <w:rPr>
          <w:sz w:val="24"/>
          <w:szCs w:val="24"/>
          <w:color w:val="auto"/>
        </w:rPr>
        <w:br w:type="column"/>
      </w:r>
    </w:p>
    <w:p>
      <w:pPr>
        <w:spacing w:after="0" w:line="81" w:lineRule="exact"/>
        <w:rPr>
          <w:sz w:val="24"/>
          <w:szCs w:val="24"/>
          <w:color w:val="auto"/>
        </w:rPr>
      </w:pPr>
    </w:p>
    <w:p>
      <w:pPr>
        <w:spacing w:after="0"/>
        <w:rPr>
          <w:sz w:val="20"/>
          <w:szCs w:val="20"/>
          <w:color w:val="auto"/>
        </w:rPr>
      </w:pPr>
      <w:r>
        <w:rPr>
          <w:rFonts w:ascii="Arial" w:cs="Arial" w:eastAsia="Arial" w:hAnsi="Arial"/>
          <w:sz w:val="15"/>
          <w:szCs w:val="15"/>
          <w:b w:val="1"/>
          <w:bCs w:val="1"/>
          <w:color w:val="auto"/>
        </w:rPr>
        <w:t>Trading Symbol(s)</w:t>
      </w:r>
    </w:p>
    <w:p>
      <w:pPr>
        <w:spacing w:after="0" w:line="20" w:lineRule="exact"/>
        <w:rPr>
          <w:sz w:val="24"/>
          <w:szCs w:val="24"/>
          <w:color w:val="auto"/>
        </w:rPr>
      </w:pPr>
      <w:r>
        <w:rPr>
          <w:sz w:val="24"/>
          <w:szCs w:val="24"/>
          <w:color w:val="auto"/>
        </w:rPr>
        <w:br w:type="column"/>
      </w:r>
    </w:p>
    <w:p>
      <w:pPr>
        <w:spacing w:after="0" w:line="81" w:lineRule="exact"/>
        <w:rPr>
          <w:sz w:val="24"/>
          <w:szCs w:val="24"/>
          <w:color w:val="auto"/>
        </w:rPr>
      </w:pPr>
    </w:p>
    <w:p>
      <w:pPr>
        <w:spacing w:after="0"/>
        <w:rPr>
          <w:sz w:val="20"/>
          <w:szCs w:val="20"/>
          <w:color w:val="auto"/>
        </w:rPr>
      </w:pPr>
      <w:r>
        <w:rPr>
          <w:rFonts w:ascii="Arial" w:cs="Arial" w:eastAsia="Arial" w:hAnsi="Arial"/>
          <w:sz w:val="15"/>
          <w:szCs w:val="15"/>
          <w:b w:val="1"/>
          <w:bCs w:val="1"/>
          <w:color w:val="auto"/>
        </w:rPr>
        <w:t>Name of each exchange on which registered</w:t>
      </w:r>
    </w:p>
    <w:p>
      <w:pPr>
        <w:spacing w:after="0" w:line="39" w:lineRule="exact"/>
        <w:rPr>
          <w:sz w:val="24"/>
          <w:szCs w:val="24"/>
          <w:color w:val="auto"/>
        </w:rPr>
      </w:pPr>
    </w:p>
    <w:p>
      <w:pPr>
        <w:sectPr>
          <w:pgSz w:w="11900" w:h="16840" w:orient="portrait"/>
          <w:cols w:equalWidth="0" w:num="3">
            <w:col w:w="3360" w:space="720"/>
            <w:col w:w="1760" w:space="720"/>
            <w:col w:w="3920"/>
          </w:cols>
          <w:pgMar w:left="660" w:top="1371" w:right="760" w:bottom="1440" w:gutter="0" w:footer="0" w:header="0"/>
          <w:type w:val="continuous"/>
        </w:sectPr>
      </w:pPr>
    </w:p>
    <w:p>
      <w:pPr>
        <w:ind w:left="420"/>
        <w:spacing w:after="0"/>
        <w:rPr>
          <w:sz w:val="20"/>
          <w:szCs w:val="20"/>
          <w:color w:val="auto"/>
        </w:rPr>
      </w:pPr>
      <w:r>
        <w:rPr>
          <w:rFonts w:ascii="Arial" w:cs="Arial" w:eastAsia="Arial" w:hAnsi="Arial"/>
          <w:sz w:val="15"/>
          <w:szCs w:val="15"/>
          <w:color w:val="auto"/>
        </w:rPr>
        <w:t>Common Stock, par value $0.01 per share</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4"/>
          <w:szCs w:val="14"/>
          <w:color w:val="auto"/>
        </w:rPr>
        <w:t>ADSK</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5"/>
          <w:szCs w:val="15"/>
          <w:color w:val="auto"/>
        </w:rPr>
        <w:t>The Nasdaq Global Select Market</w:t>
      </w:r>
    </w:p>
    <w:p>
      <w:pPr>
        <w:spacing w:after="0" w:line="200" w:lineRule="exact"/>
        <w:rPr>
          <w:sz w:val="24"/>
          <w:szCs w:val="24"/>
          <w:color w:val="auto"/>
        </w:rPr>
      </w:pPr>
    </w:p>
    <w:p>
      <w:pPr>
        <w:sectPr>
          <w:pgSz w:w="11900" w:h="16840" w:orient="portrait"/>
          <w:cols w:equalWidth="0" w:num="3">
            <w:col w:w="3840" w:space="720"/>
            <w:col w:w="1740" w:space="720"/>
            <w:col w:w="3460"/>
          </w:cols>
          <w:pgMar w:left="660" w:top="1371" w:right="760" w:bottom="1440" w:gutter="0" w:footer="0" w:header="0"/>
          <w:type w:val="continuous"/>
        </w:sectPr>
      </w:pPr>
    </w:p>
    <w:p>
      <w:pPr>
        <w:spacing w:after="0" w:line="103" w:lineRule="exact"/>
        <w:rPr>
          <w:sz w:val="24"/>
          <w:szCs w:val="24"/>
          <w:color w:val="auto"/>
        </w:rPr>
      </w:pPr>
    </w:p>
    <w:p>
      <w:pPr>
        <w:ind w:firstLine="351"/>
        <w:spacing w:after="0" w:line="190" w:lineRule="exact"/>
        <w:rPr>
          <w:sz w:val="20"/>
          <w:szCs w:val="20"/>
          <w:color w:val="auto"/>
        </w:rPr>
      </w:pPr>
      <w:r>
        <w:rPr>
          <w:rFonts w:ascii="Arial" w:cs="Arial" w:eastAsia="Arial" w:hAnsi="Arial"/>
          <w:sz w:val="15"/>
          <w:szCs w:val="15"/>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5"/>
          <w:szCs w:val="15"/>
          <w:color w:val="auto"/>
        </w:rPr>
        <w:t>☒</w:t>
      </w:r>
      <w:r>
        <w:rPr>
          <w:rFonts w:ascii="Arial" w:cs="Arial" w:eastAsia="Arial" w:hAnsi="Arial"/>
          <w:sz w:val="15"/>
          <w:szCs w:val="15"/>
          <w:color w:val="auto"/>
        </w:rPr>
        <w:t xml:space="preserve"> No </w:t>
      </w:r>
      <w:r>
        <w:rPr>
          <w:rFonts w:ascii="MS PGothic" w:cs="MS PGothic" w:eastAsia="MS PGothic" w:hAnsi="MS PGothic"/>
          <w:sz w:val="15"/>
          <w:szCs w:val="15"/>
          <w:color w:val="auto"/>
        </w:rPr>
        <w:t>☐</w:t>
      </w:r>
    </w:p>
    <w:p>
      <w:pPr>
        <w:spacing w:after="0" w:line="181" w:lineRule="exact"/>
        <w:rPr>
          <w:sz w:val="24"/>
          <w:szCs w:val="24"/>
          <w:color w:val="auto"/>
        </w:rPr>
      </w:pPr>
    </w:p>
    <w:p>
      <w:pPr>
        <w:ind w:firstLine="387"/>
        <w:spacing w:after="0" w:line="197" w:lineRule="exact"/>
        <w:rPr>
          <w:sz w:val="20"/>
          <w:szCs w:val="20"/>
          <w:color w:val="auto"/>
        </w:rPr>
      </w:pPr>
      <w:r>
        <w:rPr>
          <w:rFonts w:ascii="Arial" w:cs="Arial" w:eastAsia="Arial" w:hAnsi="Arial"/>
          <w:sz w:val="15"/>
          <w:szCs w:val="15"/>
          <w:color w:val="auto"/>
        </w:rP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rPr>
          <w:rFonts w:ascii="MS PGothic" w:cs="MS PGothic" w:eastAsia="MS PGothic" w:hAnsi="MS PGothic"/>
          <w:sz w:val="15"/>
          <w:szCs w:val="15"/>
          <w:color w:val="auto"/>
        </w:rPr>
        <w:t>☒</w:t>
      </w:r>
      <w:r>
        <w:rPr>
          <w:rFonts w:ascii="Arial" w:cs="Arial" w:eastAsia="Arial" w:hAnsi="Arial"/>
          <w:sz w:val="15"/>
          <w:szCs w:val="15"/>
          <w:color w:val="auto"/>
        </w:rPr>
        <w:t xml:space="preserve"> No </w:t>
      </w:r>
      <w:r>
        <w:rPr>
          <w:rFonts w:ascii="MS PGothic" w:cs="MS PGothic" w:eastAsia="MS PGothic" w:hAnsi="MS PGothic"/>
          <w:sz w:val="15"/>
          <w:szCs w:val="15"/>
          <w:color w:val="auto"/>
        </w:rPr>
        <w:t>☐</w:t>
      </w:r>
    </w:p>
    <w:p>
      <w:pPr>
        <w:spacing w:after="0" w:line="182" w:lineRule="exact"/>
        <w:rPr>
          <w:sz w:val="24"/>
          <w:szCs w:val="24"/>
          <w:color w:val="auto"/>
        </w:rPr>
      </w:pPr>
    </w:p>
    <w:p>
      <w:pPr>
        <w:ind w:right="100" w:firstLine="387"/>
        <w:spacing w:after="0" w:line="257" w:lineRule="auto"/>
        <w:rPr>
          <w:sz w:val="20"/>
          <w:szCs w:val="20"/>
          <w:color w:val="auto"/>
        </w:rPr>
      </w:pPr>
      <w:r>
        <w:rPr>
          <w:rFonts w:ascii="Arial" w:cs="Arial" w:eastAsia="Arial" w:hAnsi="Arial"/>
          <w:sz w:val="15"/>
          <w:szCs w:val="15"/>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wp:posOffset>
            </wp:positionH>
            <wp:positionV relativeFrom="paragraph">
              <wp:posOffset>458470</wp:posOffset>
            </wp:positionV>
            <wp:extent cx="6736080" cy="400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480"/>
          </w:cols>
          <w:pgMar w:left="660" w:top="1371" w:right="760" w:bottom="1440" w:gutter="0" w:footer="0" w:header="0"/>
          <w:type w:val="continuous"/>
        </w:sectPr>
      </w:pPr>
    </w:p>
    <w:bookmarkStart w:id="1" w:name="page2"/>
    <w:bookmarkEnd w:id="1"/>
    <w:tbl>
      <w:tblPr>
        <w:tblLayout w:type="fixed"/>
        <w:tblInd w:w="20" w:type="dxa"/>
        <w:tblCellMar>
          <w:top w:w="0" w:type="dxa"/>
          <w:left w:w="0" w:type="dxa"/>
          <w:bottom w:w="0" w:type="dxa"/>
          <w:right w:w="0" w:type="dxa"/>
        </w:tblCellMar>
      </w:tblPr>
      <w:tr>
        <w:trPr>
          <w:trHeight w:val="246"/>
        </w:trPr>
        <w:tc>
          <w:tcPr>
            <w:tcW w:w="1840" w:type="dxa"/>
            <w:vAlign w:val="bottom"/>
          </w:tcPr>
          <w:p>
            <w:pPr>
              <w:spacing w:after="0"/>
              <w:rPr>
                <w:sz w:val="20"/>
                <w:szCs w:val="20"/>
                <w:color w:val="auto"/>
              </w:rPr>
            </w:pPr>
            <w:r>
              <w:rPr>
                <w:rFonts w:ascii="Arial" w:cs="Arial" w:eastAsia="Arial" w:hAnsi="Arial"/>
                <w:sz w:val="15"/>
                <w:szCs w:val="15"/>
                <w:color w:val="auto"/>
              </w:rPr>
              <w:t>Large accelerated filer</w:t>
            </w:r>
          </w:p>
        </w:tc>
        <w:tc>
          <w:tcPr>
            <w:tcW w:w="3440" w:type="dxa"/>
            <w:vAlign w:val="bottom"/>
          </w:tcPr>
          <w:p>
            <w:pPr>
              <w:ind w:left="340"/>
              <w:spacing w:after="0" w:line="151" w:lineRule="exact"/>
              <w:rPr>
                <w:sz w:val="20"/>
                <w:szCs w:val="20"/>
                <w:color w:val="auto"/>
              </w:rPr>
            </w:pPr>
            <w:r>
              <w:rPr>
                <w:rFonts w:ascii="MS PGothic" w:cs="MS PGothic" w:eastAsia="MS PGothic" w:hAnsi="MS PGothic"/>
                <w:sz w:val="15"/>
                <w:szCs w:val="15"/>
                <w:color w:val="auto"/>
              </w:rPr>
              <w:t>☒</w:t>
            </w:r>
          </w:p>
        </w:tc>
        <w:tc>
          <w:tcPr>
            <w:tcW w:w="4840" w:type="dxa"/>
            <w:vAlign w:val="bottom"/>
          </w:tcPr>
          <w:p>
            <w:pPr>
              <w:jc w:val="right"/>
              <w:spacing w:after="0"/>
              <w:rPr>
                <w:sz w:val="20"/>
                <w:szCs w:val="20"/>
                <w:color w:val="auto"/>
              </w:rPr>
            </w:pPr>
            <w:r>
              <w:rPr>
                <w:rFonts w:ascii="Arial" w:cs="Arial" w:eastAsia="Arial" w:hAnsi="Arial"/>
                <w:sz w:val="15"/>
                <w:szCs w:val="15"/>
                <w:color w:val="auto"/>
              </w:rPr>
              <w:t>Accelerated filer</w:t>
            </w:r>
          </w:p>
        </w:tc>
        <w:tc>
          <w:tcPr>
            <w:tcW w:w="200" w:type="dxa"/>
            <w:vAlign w:val="bottom"/>
          </w:tcPr>
          <w:p>
            <w:pPr>
              <w:ind w:left="60"/>
              <w:spacing w:after="0" w:line="151" w:lineRule="exact"/>
              <w:rPr>
                <w:sz w:val="20"/>
                <w:szCs w:val="20"/>
                <w:color w:val="auto"/>
              </w:rPr>
            </w:pPr>
            <w:r>
              <w:rPr>
                <w:rFonts w:ascii="MS PGothic" w:cs="MS PGothic" w:eastAsia="MS PGothic" w:hAnsi="MS PGothic"/>
                <w:sz w:val="15"/>
                <w:szCs w:val="15"/>
                <w:color w:val="auto"/>
                <w:w w:val="79"/>
              </w:rPr>
              <w:t>☐</w:t>
            </w:r>
          </w:p>
        </w:tc>
      </w:tr>
      <w:tr>
        <w:trPr>
          <w:trHeight w:val="199"/>
        </w:trPr>
        <w:tc>
          <w:tcPr>
            <w:tcW w:w="1840" w:type="dxa"/>
            <w:vAlign w:val="bottom"/>
          </w:tcPr>
          <w:p>
            <w:pPr>
              <w:spacing w:after="0"/>
              <w:rPr>
                <w:sz w:val="20"/>
                <w:szCs w:val="20"/>
                <w:color w:val="auto"/>
              </w:rPr>
            </w:pPr>
            <w:r>
              <w:rPr>
                <w:rFonts w:ascii="Arial" w:cs="Arial" w:eastAsia="Arial" w:hAnsi="Arial"/>
                <w:sz w:val="15"/>
                <w:szCs w:val="15"/>
                <w:color w:val="auto"/>
              </w:rPr>
              <w:t>Non-accelerated filer</w:t>
            </w:r>
          </w:p>
        </w:tc>
        <w:tc>
          <w:tcPr>
            <w:tcW w:w="3440" w:type="dxa"/>
            <w:vAlign w:val="bottom"/>
          </w:tcPr>
          <w:p>
            <w:pPr>
              <w:ind w:left="340"/>
              <w:spacing w:after="0" w:line="151" w:lineRule="exact"/>
              <w:rPr>
                <w:sz w:val="20"/>
                <w:szCs w:val="20"/>
                <w:color w:val="auto"/>
              </w:rPr>
            </w:pPr>
            <w:r>
              <w:rPr>
                <w:rFonts w:ascii="MS PGothic" w:cs="MS PGothic" w:eastAsia="MS PGothic" w:hAnsi="MS PGothic"/>
                <w:sz w:val="15"/>
                <w:szCs w:val="15"/>
                <w:color w:val="auto"/>
              </w:rPr>
              <w:t>☐</w:t>
            </w:r>
          </w:p>
        </w:tc>
        <w:tc>
          <w:tcPr>
            <w:tcW w:w="4840" w:type="dxa"/>
            <w:vAlign w:val="bottom"/>
          </w:tcPr>
          <w:p>
            <w:pPr>
              <w:jc w:val="right"/>
              <w:spacing w:after="0"/>
              <w:rPr>
                <w:sz w:val="20"/>
                <w:szCs w:val="20"/>
                <w:color w:val="auto"/>
              </w:rPr>
            </w:pPr>
            <w:r>
              <w:rPr>
                <w:rFonts w:ascii="Arial" w:cs="Arial" w:eastAsia="Arial" w:hAnsi="Arial"/>
                <w:sz w:val="15"/>
                <w:szCs w:val="15"/>
                <w:color w:val="auto"/>
              </w:rPr>
              <w:t>Smaller reporting company</w:t>
            </w:r>
          </w:p>
        </w:tc>
        <w:tc>
          <w:tcPr>
            <w:tcW w:w="200" w:type="dxa"/>
            <w:vAlign w:val="bottom"/>
          </w:tcPr>
          <w:p>
            <w:pPr>
              <w:ind w:left="60"/>
              <w:spacing w:after="0" w:line="151" w:lineRule="exact"/>
              <w:rPr>
                <w:sz w:val="20"/>
                <w:szCs w:val="20"/>
                <w:color w:val="auto"/>
              </w:rPr>
            </w:pPr>
            <w:r>
              <w:rPr>
                <w:rFonts w:ascii="MS PGothic" w:cs="MS PGothic" w:eastAsia="MS PGothic" w:hAnsi="MS PGothic"/>
                <w:sz w:val="15"/>
                <w:szCs w:val="15"/>
                <w:color w:val="auto"/>
                <w:w w:val="79"/>
              </w:rPr>
              <w:t>☐</w:t>
            </w:r>
          </w:p>
        </w:tc>
      </w:tr>
      <w:tr>
        <w:trPr>
          <w:trHeight w:val="257"/>
        </w:trPr>
        <w:tc>
          <w:tcPr>
            <w:tcW w:w="1840" w:type="dxa"/>
            <w:vAlign w:val="bottom"/>
          </w:tcPr>
          <w:p>
            <w:pPr>
              <w:spacing w:after="0"/>
              <w:rPr>
                <w:sz w:val="22"/>
                <w:szCs w:val="22"/>
                <w:color w:val="auto"/>
              </w:rPr>
            </w:pPr>
          </w:p>
        </w:tc>
        <w:tc>
          <w:tcPr>
            <w:tcW w:w="3440" w:type="dxa"/>
            <w:vAlign w:val="bottom"/>
          </w:tcPr>
          <w:p>
            <w:pPr>
              <w:spacing w:after="0"/>
              <w:rPr>
                <w:sz w:val="22"/>
                <w:szCs w:val="22"/>
                <w:color w:val="auto"/>
              </w:rPr>
            </w:pPr>
          </w:p>
        </w:tc>
        <w:tc>
          <w:tcPr>
            <w:tcW w:w="4840" w:type="dxa"/>
            <w:vAlign w:val="bottom"/>
          </w:tcPr>
          <w:p>
            <w:pPr>
              <w:jc w:val="right"/>
              <w:ind w:right="4"/>
              <w:spacing w:after="0"/>
              <w:rPr>
                <w:sz w:val="20"/>
                <w:szCs w:val="20"/>
                <w:color w:val="auto"/>
              </w:rPr>
            </w:pPr>
            <w:r>
              <w:rPr>
                <w:rFonts w:ascii="Arial" w:cs="Arial" w:eastAsia="Arial" w:hAnsi="Arial"/>
                <w:sz w:val="15"/>
                <w:szCs w:val="15"/>
                <w:color w:val="auto"/>
              </w:rPr>
              <w:t>Emerging growth company</w:t>
            </w:r>
          </w:p>
        </w:tc>
        <w:tc>
          <w:tcPr>
            <w:tcW w:w="200" w:type="dxa"/>
            <w:vAlign w:val="bottom"/>
          </w:tcPr>
          <w:p>
            <w:pPr>
              <w:ind w:left="60"/>
              <w:spacing w:after="0" w:line="151" w:lineRule="exact"/>
              <w:rPr>
                <w:sz w:val="20"/>
                <w:szCs w:val="20"/>
                <w:color w:val="auto"/>
              </w:rPr>
            </w:pPr>
            <w:r>
              <w:rPr>
                <w:rFonts w:ascii="MS PGothic" w:cs="MS PGothic" w:eastAsia="MS PGothic" w:hAnsi="MS PGothic"/>
                <w:sz w:val="15"/>
                <w:szCs w:val="15"/>
                <w:color w:val="auto"/>
                <w:w w:val="79"/>
              </w:rPr>
              <w:t>☐</w:t>
            </w:r>
          </w:p>
        </w:tc>
      </w:tr>
    </w:tbl>
    <w:p>
      <w:pPr>
        <w:spacing w:after="0" w:line="263" w:lineRule="exact"/>
        <w:rPr>
          <w:sz w:val="20"/>
          <w:szCs w:val="20"/>
          <w:color w:val="auto"/>
        </w:rPr>
      </w:pPr>
    </w:p>
    <w:p>
      <w:pPr>
        <w:jc w:val="both"/>
        <w:ind w:right="20" w:firstLine="387"/>
        <w:spacing w:after="0" w:line="197" w:lineRule="exact"/>
        <w:rPr>
          <w:sz w:val="20"/>
          <w:szCs w:val="20"/>
          <w:color w:val="auto"/>
        </w:rPr>
      </w:pPr>
      <w:r>
        <w:rPr>
          <w:rFonts w:ascii="Arial" w:cs="Arial" w:eastAsia="Arial" w:hAnsi="Arial"/>
          <w:sz w:val="15"/>
          <w:szCs w:val="15"/>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5"/>
          <w:szCs w:val="15"/>
          <w:color w:val="auto"/>
        </w:rPr>
        <w:t>☐</w:t>
      </w:r>
    </w:p>
    <w:p>
      <w:pPr>
        <w:spacing w:after="0" w:line="142" w:lineRule="exact"/>
        <w:rPr>
          <w:sz w:val="20"/>
          <w:szCs w:val="20"/>
          <w:color w:val="auto"/>
        </w:rPr>
      </w:pPr>
    </w:p>
    <w:p>
      <w:pPr>
        <w:ind w:left="400"/>
        <w:spacing w:after="0" w:line="173" w:lineRule="exact"/>
        <w:tabs>
          <w:tab w:leader="none" w:pos="8460" w:val="left"/>
        </w:tabs>
        <w:rPr>
          <w:sz w:val="20"/>
          <w:szCs w:val="20"/>
          <w:color w:val="auto"/>
        </w:rPr>
      </w:pPr>
      <w:r>
        <w:rPr>
          <w:rFonts w:ascii="Arial" w:cs="Arial" w:eastAsia="Arial" w:hAnsi="Arial"/>
          <w:sz w:val="15"/>
          <w:szCs w:val="15"/>
          <w:color w:val="auto"/>
        </w:rPr>
        <w:t>Indicate by check mark whether the registrant is a shell company (as defined by Rule 12b-2 of the Exchange Act). Yes</w:t>
      </w:r>
      <w:r>
        <w:rPr>
          <w:sz w:val="20"/>
          <w:szCs w:val="20"/>
          <w:color w:val="auto"/>
        </w:rPr>
        <w:tab/>
      </w:r>
      <w:r>
        <w:rPr>
          <w:rFonts w:ascii="MS PGothic" w:cs="MS PGothic" w:eastAsia="MS PGothic" w:hAnsi="MS PGothic"/>
          <w:sz w:val="14"/>
          <w:szCs w:val="14"/>
          <w:color w:val="auto"/>
        </w:rPr>
        <w:t xml:space="preserve">☐ </w:t>
      </w:r>
      <w:r>
        <w:rPr>
          <w:rFonts w:ascii="Arial" w:cs="Arial" w:eastAsia="Arial" w:hAnsi="Arial"/>
          <w:sz w:val="14"/>
          <w:szCs w:val="14"/>
          <w:color w:val="auto"/>
        </w:rPr>
        <w:t>No</w:t>
      </w:r>
      <w:r>
        <w:rPr>
          <w:rFonts w:ascii="MS PGothic" w:cs="MS PGothic" w:eastAsia="MS PGothic" w:hAnsi="MS PGothic"/>
          <w:sz w:val="14"/>
          <w:szCs w:val="14"/>
          <w:color w:val="auto"/>
        </w:rPr>
        <w:t xml:space="preserve"> ☒</w:t>
      </w:r>
    </w:p>
    <w:p>
      <w:pPr>
        <w:spacing w:after="0" w:line="265" w:lineRule="exact"/>
        <w:rPr>
          <w:sz w:val="20"/>
          <w:szCs w:val="20"/>
          <w:color w:val="auto"/>
        </w:rPr>
      </w:pPr>
    </w:p>
    <w:p>
      <w:pPr>
        <w:ind w:left="400"/>
        <w:spacing w:after="0"/>
        <w:rPr>
          <w:sz w:val="20"/>
          <w:szCs w:val="20"/>
          <w:color w:val="auto"/>
        </w:rPr>
      </w:pPr>
      <w:r>
        <w:rPr>
          <w:rFonts w:ascii="Arial" w:cs="Arial" w:eastAsia="Arial" w:hAnsi="Arial"/>
          <w:sz w:val="15"/>
          <w:szCs w:val="15"/>
          <w:color w:val="auto"/>
        </w:rPr>
        <w:t>As of May 24, 2023, registrant had outstanding 213,726,419 shares of common stock.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626110</wp:posOffset>
            </wp:positionV>
            <wp:extent cx="6736080" cy="400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736080" cy="40005"/>
                    </a:xfrm>
                    <a:prstGeom prst="rect">
                      <a:avLst/>
                    </a:prstGeom>
                    <a:noFill/>
                  </pic:spPr>
                </pic:pic>
              </a:graphicData>
            </a:graphic>
          </wp:anchor>
        </w:drawing>
        <w:drawing>
          <wp:anchor simplePos="0" relativeHeight="251657728" behindDoc="1" locked="0" layoutInCell="0" allowOverlap="1">
            <wp:simplePos x="0" y="0"/>
            <wp:positionH relativeFrom="column">
              <wp:posOffset>9525</wp:posOffset>
            </wp:positionH>
            <wp:positionV relativeFrom="paragraph">
              <wp:posOffset>81280</wp:posOffset>
            </wp:positionV>
            <wp:extent cx="6695440" cy="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695440" cy="7620"/>
                    </a:xfrm>
                    <a:prstGeom prst="rect">
                      <a:avLst/>
                    </a:prstGeom>
                    <a:noFill/>
                  </pic:spPr>
                </pic:pic>
              </a:graphicData>
            </a:graphic>
          </wp:anchor>
        </w:drawing>
        <w:drawing>
          <wp:anchor simplePos="0" relativeHeight="251657728" behindDoc="1" locked="0" layoutInCell="0" allowOverlap="1">
            <wp:simplePos x="0" y="0"/>
            <wp:positionH relativeFrom="column">
              <wp:posOffset>9525</wp:posOffset>
            </wp:positionH>
            <wp:positionV relativeFrom="paragraph">
              <wp:posOffset>103505</wp:posOffset>
            </wp:positionV>
            <wp:extent cx="6695440" cy="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6695440" cy="7620"/>
                    </a:xfrm>
                    <a:prstGeom prst="rect">
                      <a:avLst/>
                    </a:prstGeom>
                    <a:noFill/>
                  </pic:spPr>
                </pic:pic>
              </a:graphicData>
            </a:graphic>
          </wp:anchor>
        </w:drawing>
      </w:r>
    </w:p>
    <w:p>
      <w:pPr>
        <w:sectPr>
          <w:pgSz w:w="11900" w:h="16840" w:orient="portrait"/>
          <w:cols w:equalWidth="0" w:num="1">
            <w:col w:w="10340"/>
          </w:cols>
          <w:pgMar w:left="660" w:top="1296" w:right="900" w:bottom="1440" w:gutter="0" w:footer="0" w:header="0"/>
        </w:sectPr>
      </w:pPr>
    </w:p>
    <w:bookmarkStart w:id="2" w:name="page3"/>
    <w:bookmarkEnd w:id="2"/>
    <w:p>
      <w:pPr>
        <w:jc w:val="center"/>
        <w:ind w:right="20"/>
        <w:spacing w:after="0"/>
        <w:rPr>
          <w:sz w:val="20"/>
          <w:szCs w:val="20"/>
          <w:color w:val="auto"/>
        </w:rPr>
      </w:pPr>
      <w:r>
        <w:rPr>
          <w:rFonts w:ascii="Arial" w:cs="Arial" w:eastAsia="Arial" w:hAnsi="Arial"/>
          <w:sz w:val="15"/>
          <w:szCs w:val="15"/>
          <w:b w:val="1"/>
          <w:bCs w:val="1"/>
          <w:color w:val="auto"/>
        </w:rPr>
        <w:t>AUTODESK, INC. FORM 10-Q</w:t>
      </w:r>
    </w:p>
    <w:p>
      <w:pPr>
        <w:spacing w:after="0" w:line="21" w:lineRule="exact"/>
        <w:rPr>
          <w:sz w:val="20"/>
          <w:szCs w:val="20"/>
          <w:color w:val="auto"/>
        </w:rPr>
      </w:pPr>
    </w:p>
    <w:p>
      <w:pPr>
        <w:jc w:val="center"/>
        <w:spacing w:after="0"/>
        <w:rPr>
          <w:sz w:val="20"/>
          <w:szCs w:val="20"/>
          <w:color w:val="auto"/>
        </w:rPr>
      </w:pPr>
      <w:r>
        <w:rPr>
          <w:rFonts w:ascii="Arial" w:cs="Arial" w:eastAsia="Arial" w:hAnsi="Arial"/>
          <w:sz w:val="15"/>
          <w:szCs w:val="15"/>
          <w:b w:val="1"/>
          <w:bCs w:val="1"/>
          <w:color w:val="auto"/>
        </w:rPr>
        <w:t>TABLE OF CONTENTS</w:t>
      </w:r>
    </w:p>
    <w:p>
      <w:pPr>
        <w:spacing w:after="0" w:line="21" w:lineRule="exact"/>
        <w:rPr>
          <w:sz w:val="20"/>
          <w:szCs w:val="20"/>
          <w:color w:val="auto"/>
        </w:rPr>
      </w:pPr>
    </w:p>
    <w:tbl>
      <w:tblPr>
        <w:tblLayout w:type="fixed"/>
        <w:tblInd w:w="0" w:type="dxa"/>
        <w:tblCellMar>
          <w:top w:w="0" w:type="dxa"/>
          <w:left w:w="0" w:type="dxa"/>
          <w:bottom w:w="0" w:type="dxa"/>
          <w:right w:w="0" w:type="dxa"/>
        </w:tblCellMar>
      </w:tblPr>
      <w:tr>
        <w:trPr>
          <w:trHeight w:val="178"/>
        </w:trPr>
        <w:tc>
          <w:tcPr>
            <w:tcW w:w="116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3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2540" w:type="dxa"/>
            <w:vAlign w:val="bottom"/>
            <w:gridSpan w:val="6"/>
            <w:vMerge w:val="restart"/>
          </w:tcPr>
          <w:p>
            <w:pPr>
              <w:jc w:val="center"/>
              <w:ind w:right="20"/>
              <w:spacing w:after="0"/>
              <w:rPr>
                <w:rFonts w:ascii="Arial" w:cs="Arial" w:eastAsia="Arial" w:hAnsi="Arial"/>
                <w:sz w:val="15"/>
                <w:szCs w:val="15"/>
                <w:b w:val="1"/>
                <w:bCs w:val="1"/>
                <w:color w:val="0000FF"/>
              </w:rPr>
            </w:pPr>
            <w:hyperlink w:anchor="page3">
              <w:r>
                <w:rPr>
                  <w:rFonts w:ascii="Arial" w:cs="Arial" w:eastAsia="Arial" w:hAnsi="Arial"/>
                  <w:sz w:val="15"/>
                  <w:szCs w:val="15"/>
                  <w:b w:val="1"/>
                  <w:bCs w:val="1"/>
                  <w:color w:val="0000FF"/>
                </w:rPr>
                <w:t>PART I. FINANCIAL INFORMATION</w:t>
              </w:r>
            </w:hyperlink>
          </w:p>
        </w:tc>
        <w:tc>
          <w:tcPr>
            <w:tcW w:w="2680" w:type="dxa"/>
            <w:vAlign w:val="bottom"/>
            <w:gridSpan w:val="6"/>
            <w:vMerge w:val="restart"/>
          </w:tcPr>
          <w:p>
            <w:pPr>
              <w:spacing w:after="0"/>
              <w:rPr>
                <w:sz w:val="15"/>
                <w:szCs w:val="15"/>
                <w:color w:val="auto"/>
              </w:rPr>
            </w:pPr>
          </w:p>
        </w:tc>
        <w:tc>
          <w:tcPr>
            <w:tcW w:w="1540" w:type="dxa"/>
            <w:vAlign w:val="bottom"/>
            <w:gridSpan w:val="5"/>
          </w:tcPr>
          <w:p>
            <w:pPr>
              <w:ind w:left="480"/>
              <w:spacing w:after="0"/>
              <w:rPr>
                <w:sz w:val="20"/>
                <w:szCs w:val="20"/>
                <w:color w:val="auto"/>
              </w:rPr>
            </w:pPr>
            <w:r>
              <w:rPr>
                <w:rFonts w:ascii="Arial" w:cs="Arial" w:eastAsia="Arial" w:hAnsi="Arial"/>
                <w:sz w:val="13"/>
                <w:szCs w:val="13"/>
                <w:b w:val="1"/>
                <w:bCs w:val="1"/>
                <w:color w:val="auto"/>
              </w:rPr>
              <w:t>Page No.</w:t>
            </w:r>
          </w:p>
        </w:tc>
        <w:tc>
          <w:tcPr>
            <w:tcW w:w="0" w:type="dxa"/>
            <w:vAlign w:val="bottom"/>
          </w:tcPr>
          <w:p>
            <w:pPr>
              <w:spacing w:after="0"/>
              <w:rPr>
                <w:sz w:val="1"/>
                <w:szCs w:val="1"/>
                <w:color w:val="auto"/>
              </w:rPr>
            </w:pPr>
          </w:p>
        </w:tc>
      </w:tr>
      <w:tr>
        <w:trPr>
          <w:trHeight w:val="149"/>
        </w:trPr>
        <w:tc>
          <w:tcPr>
            <w:tcW w:w="116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2540" w:type="dxa"/>
            <w:vAlign w:val="bottom"/>
            <w:tcBorders>
              <w:bottom w:val="single" w:sz="8" w:color="0000FF"/>
            </w:tcBorders>
            <w:gridSpan w:val="6"/>
            <w:vMerge w:val="continue"/>
          </w:tcPr>
          <w:p>
            <w:pPr>
              <w:spacing w:after="0"/>
              <w:rPr>
                <w:sz w:val="12"/>
                <w:szCs w:val="12"/>
                <w:color w:val="auto"/>
              </w:rPr>
            </w:pPr>
          </w:p>
        </w:tc>
        <w:tc>
          <w:tcPr>
            <w:tcW w:w="2680" w:type="dxa"/>
            <w:vAlign w:val="bottom"/>
            <w:gridSpan w:val="6"/>
            <w:vMerge w:val="continue"/>
          </w:tcPr>
          <w:p>
            <w:pPr>
              <w:spacing w:after="0"/>
              <w:rPr>
                <w:sz w:val="12"/>
                <w:szCs w:val="12"/>
                <w:color w:val="auto"/>
              </w:rPr>
            </w:pPr>
          </w:p>
        </w:tc>
        <w:tc>
          <w:tcPr>
            <w:tcW w:w="1340" w:type="dxa"/>
            <w:vAlign w:val="bottom"/>
            <w:tcBorders>
              <w:top w:val="single" w:sz="8" w:color="auto"/>
            </w:tcBorders>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1.</w:t>
            </w:r>
          </w:p>
        </w:tc>
        <w:tc>
          <w:tcPr>
            <w:tcW w:w="7880" w:type="dxa"/>
            <w:vAlign w:val="bottom"/>
            <w:gridSpan w:val="23"/>
          </w:tcPr>
          <w:p>
            <w:pPr>
              <w:spacing w:after="0"/>
              <w:rPr>
                <w:rFonts w:ascii="Arial" w:cs="Arial" w:eastAsia="Arial" w:hAnsi="Arial"/>
                <w:sz w:val="15"/>
                <w:szCs w:val="15"/>
                <w:b w:val="1"/>
                <w:bCs w:val="1"/>
                <w:color w:val="0000FF"/>
              </w:rPr>
            </w:pPr>
            <w:hyperlink w:anchor="page4">
              <w:r>
                <w:rPr>
                  <w:rFonts w:ascii="Arial" w:cs="Arial" w:eastAsia="Arial" w:hAnsi="Arial"/>
                  <w:sz w:val="15"/>
                  <w:szCs w:val="15"/>
                  <w:b w:val="1"/>
                  <w:bCs w:val="1"/>
                  <w:color w:val="0000FF"/>
                </w:rPr>
                <w:t>Financial Statements:</w:t>
              </w:r>
            </w:hyperlink>
          </w:p>
        </w:tc>
        <w:tc>
          <w:tcPr>
            <w:tcW w:w="13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gridSpan w:val="2"/>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7880" w:type="dxa"/>
            <w:vAlign w:val="bottom"/>
            <w:gridSpan w:val="23"/>
          </w:tcPr>
          <w:p>
            <w:pPr>
              <w:spacing w:after="0"/>
              <w:rPr>
                <w:rFonts w:ascii="Arial" w:cs="Arial" w:eastAsia="Arial" w:hAnsi="Arial"/>
                <w:sz w:val="15"/>
                <w:szCs w:val="15"/>
                <w:color w:val="0000FF"/>
              </w:rPr>
            </w:pPr>
            <w:hyperlink w:anchor="page4">
              <w:r>
                <w:rPr>
                  <w:rFonts w:ascii="Arial" w:cs="Arial" w:eastAsia="Arial" w:hAnsi="Arial"/>
                  <w:sz w:val="15"/>
                  <w:szCs w:val="15"/>
                  <w:color w:val="0000FF"/>
                </w:rPr>
                <w:t>Condensed Consolidated Statements of Operations for the Three Months Ended April 30, 2023 and 2022</w:t>
              </w:r>
            </w:hyperlink>
          </w:p>
        </w:tc>
        <w:tc>
          <w:tcPr>
            <w:tcW w:w="1520" w:type="dxa"/>
            <w:vAlign w:val="bottom"/>
            <w:gridSpan w:val="4"/>
          </w:tcPr>
          <w:p>
            <w:pPr>
              <w:jc w:val="right"/>
              <w:spacing w:after="0"/>
              <w:rPr>
                <w:rFonts w:ascii="Arial" w:cs="Arial" w:eastAsia="Arial" w:hAnsi="Arial"/>
                <w:sz w:val="15"/>
                <w:szCs w:val="15"/>
                <w:color w:val="0000FF"/>
              </w:rPr>
            </w:pPr>
            <w:hyperlink w:anchor="page4">
              <w:r>
                <w:rPr>
                  <w:rFonts w:ascii="Arial" w:cs="Arial" w:eastAsia="Arial" w:hAnsi="Arial"/>
                  <w:sz w:val="15"/>
                  <w:szCs w:val="15"/>
                  <w:color w:val="0000FF"/>
                </w:rPr>
                <w:t>4</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0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80" w:type="dxa"/>
            <w:vAlign w:val="bottom"/>
            <w:shd w:val="clear" w:color="auto" w:fill="0000FF"/>
          </w:tcPr>
          <w:p>
            <w:pPr>
              <w:spacing w:after="0" w:line="20" w:lineRule="exact"/>
              <w:rPr>
                <w:sz w:val="1"/>
                <w:szCs w:val="1"/>
                <w:color w:val="auto"/>
              </w:rPr>
            </w:pPr>
          </w:p>
        </w:tc>
        <w:tc>
          <w:tcPr>
            <w:tcW w:w="660" w:type="dxa"/>
            <w:vAlign w:val="bottom"/>
            <w:gridSpan w:val="2"/>
            <w:shd w:val="clear" w:color="auto" w:fill="0000FF"/>
          </w:tcPr>
          <w:p>
            <w:pPr>
              <w:spacing w:after="0" w:line="20" w:lineRule="exact"/>
              <w:rPr>
                <w:sz w:val="1"/>
                <w:szCs w:val="1"/>
                <w:color w:val="auto"/>
              </w:rPr>
            </w:pPr>
          </w:p>
        </w:tc>
        <w:tc>
          <w:tcPr>
            <w:tcW w:w="760" w:type="dxa"/>
            <w:vAlign w:val="bottom"/>
            <w:shd w:val="clear" w:color="auto" w:fill="0000FF"/>
          </w:tcPr>
          <w:p>
            <w:pPr>
              <w:spacing w:after="0" w:line="20" w:lineRule="exact"/>
              <w:rPr>
                <w:sz w:val="1"/>
                <w:szCs w:val="1"/>
                <w:color w:val="auto"/>
              </w:rPr>
            </w:pPr>
          </w:p>
        </w:tc>
        <w:tc>
          <w:tcPr>
            <w:tcW w:w="640" w:type="dxa"/>
            <w:vAlign w:val="bottom"/>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7880" w:type="dxa"/>
            <w:vAlign w:val="bottom"/>
            <w:gridSpan w:val="23"/>
          </w:tcPr>
          <w:p>
            <w:pPr>
              <w:spacing w:after="0"/>
              <w:rPr>
                <w:rFonts w:ascii="Arial" w:cs="Arial" w:eastAsia="Arial" w:hAnsi="Arial"/>
                <w:sz w:val="15"/>
                <w:szCs w:val="15"/>
                <w:color w:val="0000FF"/>
              </w:rPr>
            </w:pPr>
            <w:hyperlink w:anchor="page4">
              <w:r>
                <w:rPr>
                  <w:rFonts w:ascii="Arial" w:cs="Arial" w:eastAsia="Arial" w:hAnsi="Arial"/>
                  <w:sz w:val="15"/>
                  <w:szCs w:val="15"/>
                  <w:color w:val="0000FF"/>
                </w:rPr>
                <w:t>Condensed Consolidated Statements of Comprehensive Income for the Three Months Ended April 30, 2023 and</w:t>
              </w:r>
            </w:hyperlink>
          </w:p>
        </w:tc>
        <w:tc>
          <w:tcPr>
            <w:tcW w:w="1420" w:type="dxa"/>
            <w:vAlign w:val="bottom"/>
            <w:gridSpan w:val="2"/>
            <w:vMerge w:val="restart"/>
          </w:tcPr>
          <w:p>
            <w:pPr>
              <w:spacing w:after="0"/>
              <w:rPr>
                <w:sz w:val="19"/>
                <w:szCs w:val="19"/>
                <w:color w:val="auto"/>
              </w:rPr>
            </w:pPr>
          </w:p>
        </w:tc>
        <w:tc>
          <w:tcPr>
            <w:tcW w:w="100" w:type="dxa"/>
            <w:vAlign w:val="bottom"/>
            <w:gridSpan w:val="2"/>
            <w:vMerge w:val="restart"/>
          </w:tcPr>
          <w:p>
            <w:pPr>
              <w:jc w:val="right"/>
              <w:spacing w:after="0"/>
              <w:rPr>
                <w:rFonts w:ascii="Arial" w:cs="Arial" w:eastAsia="Arial" w:hAnsi="Arial"/>
                <w:sz w:val="15"/>
                <w:szCs w:val="15"/>
                <w:color w:val="0000FF"/>
                <w:w w:val="95"/>
              </w:rPr>
            </w:pPr>
            <w:hyperlink w:anchor="page4">
              <w:r>
                <w:rPr>
                  <w:rFonts w:ascii="Arial" w:cs="Arial" w:eastAsia="Arial" w:hAnsi="Arial"/>
                  <w:sz w:val="15"/>
                  <w:szCs w:val="15"/>
                  <w:color w:val="0000FF"/>
                  <w:w w:val="95"/>
                </w:rPr>
                <w:t>5</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32"/>
        </w:trPr>
        <w:tc>
          <w:tcPr>
            <w:tcW w:w="1160" w:type="dxa"/>
            <w:vAlign w:val="bottom"/>
          </w:tcPr>
          <w:p>
            <w:pPr>
              <w:spacing w:after="0"/>
              <w:rPr>
                <w:sz w:val="11"/>
                <w:szCs w:val="11"/>
                <w:color w:val="auto"/>
              </w:rPr>
            </w:pPr>
          </w:p>
        </w:tc>
        <w:tc>
          <w:tcPr>
            <w:tcW w:w="320" w:type="dxa"/>
            <w:vAlign w:val="bottom"/>
            <w:tcBorders>
              <w:top w:val="single" w:sz="8" w:color="0000FF"/>
            </w:tcBorders>
          </w:tcPr>
          <w:p>
            <w:pPr>
              <w:spacing w:after="0" w:line="133" w:lineRule="exact"/>
              <w:rPr>
                <w:rFonts w:ascii="Arial" w:cs="Arial" w:eastAsia="Arial" w:hAnsi="Arial"/>
                <w:sz w:val="15"/>
                <w:szCs w:val="15"/>
                <w:color w:val="0000FF"/>
                <w:w w:val="89"/>
              </w:rPr>
            </w:pPr>
            <w:hyperlink w:anchor="page4">
              <w:r>
                <w:rPr>
                  <w:rFonts w:ascii="Arial" w:cs="Arial" w:eastAsia="Arial" w:hAnsi="Arial"/>
                  <w:sz w:val="15"/>
                  <w:szCs w:val="15"/>
                  <w:color w:val="0000FF"/>
                  <w:w w:val="89"/>
                </w:rPr>
                <w:t>2022</w:t>
              </w:r>
            </w:hyperlink>
          </w:p>
        </w:tc>
        <w:tc>
          <w:tcPr>
            <w:tcW w:w="260" w:type="dxa"/>
            <w:vAlign w:val="bottom"/>
            <w:tcBorders>
              <w:top w:val="single" w:sz="8" w:color="0000FF"/>
            </w:tcBorders>
          </w:tcPr>
          <w:p>
            <w:pPr>
              <w:spacing w:after="0"/>
              <w:rPr>
                <w:sz w:val="11"/>
                <w:szCs w:val="11"/>
                <w:color w:val="auto"/>
              </w:rPr>
            </w:pPr>
          </w:p>
        </w:tc>
        <w:tc>
          <w:tcPr>
            <w:tcW w:w="200" w:type="dxa"/>
            <w:vAlign w:val="bottom"/>
            <w:tcBorders>
              <w:top w:val="single" w:sz="8" w:color="0000FF"/>
            </w:tcBorders>
          </w:tcPr>
          <w:p>
            <w:pPr>
              <w:spacing w:after="0"/>
              <w:rPr>
                <w:sz w:val="11"/>
                <w:szCs w:val="11"/>
                <w:color w:val="auto"/>
              </w:rPr>
            </w:pPr>
          </w:p>
        </w:tc>
        <w:tc>
          <w:tcPr>
            <w:tcW w:w="120" w:type="dxa"/>
            <w:vAlign w:val="bottom"/>
            <w:tcBorders>
              <w:top w:val="single" w:sz="8" w:color="0000FF"/>
            </w:tcBorders>
          </w:tcPr>
          <w:p>
            <w:pPr>
              <w:spacing w:after="0"/>
              <w:rPr>
                <w:sz w:val="11"/>
                <w:szCs w:val="11"/>
                <w:color w:val="auto"/>
              </w:rPr>
            </w:pPr>
          </w:p>
        </w:tc>
        <w:tc>
          <w:tcPr>
            <w:tcW w:w="380" w:type="dxa"/>
            <w:vAlign w:val="bottom"/>
            <w:tcBorders>
              <w:top w:val="single" w:sz="8" w:color="0000FF"/>
            </w:tcBorders>
          </w:tcPr>
          <w:p>
            <w:pPr>
              <w:spacing w:after="0"/>
              <w:rPr>
                <w:sz w:val="11"/>
                <w:szCs w:val="11"/>
                <w:color w:val="auto"/>
              </w:rPr>
            </w:pPr>
          </w:p>
        </w:tc>
        <w:tc>
          <w:tcPr>
            <w:tcW w:w="80" w:type="dxa"/>
            <w:vAlign w:val="bottom"/>
            <w:tcBorders>
              <w:top w:val="single" w:sz="8" w:color="0000FF"/>
            </w:tcBorders>
          </w:tcPr>
          <w:p>
            <w:pPr>
              <w:spacing w:after="0"/>
              <w:rPr>
                <w:sz w:val="11"/>
                <w:szCs w:val="11"/>
                <w:color w:val="auto"/>
              </w:rPr>
            </w:pPr>
          </w:p>
        </w:tc>
        <w:tc>
          <w:tcPr>
            <w:tcW w:w="200" w:type="dxa"/>
            <w:vAlign w:val="bottom"/>
            <w:tcBorders>
              <w:top w:val="single" w:sz="8" w:color="0000FF"/>
            </w:tcBorders>
          </w:tcPr>
          <w:p>
            <w:pPr>
              <w:spacing w:after="0"/>
              <w:rPr>
                <w:sz w:val="11"/>
                <w:szCs w:val="11"/>
                <w:color w:val="auto"/>
              </w:rPr>
            </w:pPr>
          </w:p>
        </w:tc>
        <w:tc>
          <w:tcPr>
            <w:tcW w:w="200" w:type="dxa"/>
            <w:vAlign w:val="bottom"/>
            <w:tcBorders>
              <w:top w:val="single" w:sz="8" w:color="0000FF"/>
            </w:tcBorders>
          </w:tcPr>
          <w:p>
            <w:pPr>
              <w:spacing w:after="0"/>
              <w:rPr>
                <w:sz w:val="11"/>
                <w:szCs w:val="11"/>
                <w:color w:val="auto"/>
              </w:rPr>
            </w:pPr>
          </w:p>
        </w:tc>
        <w:tc>
          <w:tcPr>
            <w:tcW w:w="40" w:type="dxa"/>
            <w:vAlign w:val="bottom"/>
            <w:tcBorders>
              <w:top w:val="single" w:sz="8" w:color="0000FF"/>
            </w:tcBorders>
          </w:tcPr>
          <w:p>
            <w:pPr>
              <w:spacing w:after="0"/>
              <w:rPr>
                <w:sz w:val="11"/>
                <w:szCs w:val="11"/>
                <w:color w:val="auto"/>
              </w:rPr>
            </w:pPr>
          </w:p>
        </w:tc>
        <w:tc>
          <w:tcPr>
            <w:tcW w:w="520" w:type="dxa"/>
            <w:vAlign w:val="bottom"/>
            <w:tcBorders>
              <w:top w:val="single" w:sz="8" w:color="0000FF"/>
            </w:tcBorders>
          </w:tcPr>
          <w:p>
            <w:pPr>
              <w:spacing w:after="0"/>
              <w:rPr>
                <w:sz w:val="11"/>
                <w:szCs w:val="11"/>
                <w:color w:val="auto"/>
              </w:rPr>
            </w:pPr>
          </w:p>
        </w:tc>
        <w:tc>
          <w:tcPr>
            <w:tcW w:w="340" w:type="dxa"/>
            <w:vAlign w:val="bottom"/>
            <w:tcBorders>
              <w:top w:val="single" w:sz="8" w:color="0000FF"/>
            </w:tcBorders>
          </w:tcPr>
          <w:p>
            <w:pPr>
              <w:spacing w:after="0"/>
              <w:rPr>
                <w:sz w:val="11"/>
                <w:szCs w:val="11"/>
                <w:color w:val="auto"/>
              </w:rPr>
            </w:pPr>
          </w:p>
        </w:tc>
        <w:tc>
          <w:tcPr>
            <w:tcW w:w="140" w:type="dxa"/>
            <w:vAlign w:val="bottom"/>
            <w:tcBorders>
              <w:top w:val="single" w:sz="8" w:color="0000FF"/>
            </w:tcBorders>
          </w:tcPr>
          <w:p>
            <w:pPr>
              <w:spacing w:after="0"/>
              <w:rPr>
                <w:sz w:val="11"/>
                <w:szCs w:val="11"/>
                <w:color w:val="auto"/>
              </w:rPr>
            </w:pPr>
          </w:p>
        </w:tc>
        <w:tc>
          <w:tcPr>
            <w:tcW w:w="1000" w:type="dxa"/>
            <w:vAlign w:val="bottom"/>
            <w:tcBorders>
              <w:top w:val="single" w:sz="8" w:color="0000FF"/>
            </w:tcBorders>
          </w:tcPr>
          <w:p>
            <w:pPr>
              <w:spacing w:after="0"/>
              <w:rPr>
                <w:sz w:val="11"/>
                <w:szCs w:val="11"/>
                <w:color w:val="auto"/>
              </w:rPr>
            </w:pPr>
          </w:p>
        </w:tc>
        <w:tc>
          <w:tcPr>
            <w:tcW w:w="520" w:type="dxa"/>
            <w:vAlign w:val="bottom"/>
            <w:tcBorders>
              <w:top w:val="single" w:sz="8" w:color="0000FF"/>
            </w:tcBorders>
          </w:tcPr>
          <w:p>
            <w:pPr>
              <w:spacing w:after="0"/>
              <w:rPr>
                <w:sz w:val="11"/>
                <w:szCs w:val="11"/>
                <w:color w:val="auto"/>
              </w:rPr>
            </w:pPr>
          </w:p>
        </w:tc>
        <w:tc>
          <w:tcPr>
            <w:tcW w:w="80" w:type="dxa"/>
            <w:vAlign w:val="bottom"/>
            <w:tcBorders>
              <w:top w:val="single" w:sz="8" w:color="0000FF"/>
            </w:tcBorders>
          </w:tcPr>
          <w:p>
            <w:pPr>
              <w:spacing w:after="0"/>
              <w:rPr>
                <w:sz w:val="11"/>
                <w:szCs w:val="11"/>
                <w:color w:val="auto"/>
              </w:rPr>
            </w:pPr>
          </w:p>
        </w:tc>
        <w:tc>
          <w:tcPr>
            <w:tcW w:w="680" w:type="dxa"/>
            <w:vAlign w:val="bottom"/>
            <w:tcBorders>
              <w:top w:val="single" w:sz="8" w:color="0000FF"/>
            </w:tcBorders>
          </w:tcPr>
          <w:p>
            <w:pPr>
              <w:spacing w:after="0"/>
              <w:rPr>
                <w:sz w:val="11"/>
                <w:szCs w:val="11"/>
                <w:color w:val="auto"/>
              </w:rPr>
            </w:pPr>
          </w:p>
        </w:tc>
        <w:tc>
          <w:tcPr>
            <w:tcW w:w="120" w:type="dxa"/>
            <w:vAlign w:val="bottom"/>
            <w:tcBorders>
              <w:top w:val="single" w:sz="8" w:color="0000FF"/>
            </w:tcBorders>
          </w:tcPr>
          <w:p>
            <w:pPr>
              <w:spacing w:after="0"/>
              <w:rPr>
                <w:sz w:val="11"/>
                <w:szCs w:val="11"/>
                <w:color w:val="auto"/>
              </w:rPr>
            </w:pPr>
          </w:p>
        </w:tc>
        <w:tc>
          <w:tcPr>
            <w:tcW w:w="540" w:type="dxa"/>
            <w:vAlign w:val="bottom"/>
            <w:tcBorders>
              <w:top w:val="single" w:sz="8" w:color="0000FF"/>
            </w:tcBorders>
          </w:tcPr>
          <w:p>
            <w:pPr>
              <w:spacing w:after="0"/>
              <w:rPr>
                <w:sz w:val="11"/>
                <w:szCs w:val="11"/>
                <w:color w:val="auto"/>
              </w:rPr>
            </w:pPr>
          </w:p>
        </w:tc>
        <w:tc>
          <w:tcPr>
            <w:tcW w:w="760" w:type="dxa"/>
            <w:vAlign w:val="bottom"/>
            <w:tcBorders>
              <w:top w:val="single" w:sz="8" w:color="0000FF"/>
            </w:tcBorders>
          </w:tcPr>
          <w:p>
            <w:pPr>
              <w:spacing w:after="0"/>
              <w:rPr>
                <w:sz w:val="11"/>
                <w:szCs w:val="11"/>
                <w:color w:val="auto"/>
              </w:rPr>
            </w:pPr>
          </w:p>
        </w:tc>
        <w:tc>
          <w:tcPr>
            <w:tcW w:w="640" w:type="dxa"/>
            <w:vAlign w:val="bottom"/>
            <w:tcBorders>
              <w:top w:val="single" w:sz="8" w:color="0000FF"/>
            </w:tcBorders>
          </w:tcPr>
          <w:p>
            <w:pPr>
              <w:spacing w:after="0"/>
              <w:rPr>
                <w:sz w:val="11"/>
                <w:szCs w:val="11"/>
                <w:color w:val="auto"/>
              </w:rPr>
            </w:pPr>
          </w:p>
        </w:tc>
        <w:tc>
          <w:tcPr>
            <w:tcW w:w="60" w:type="dxa"/>
            <w:vAlign w:val="bottom"/>
            <w:tcBorders>
              <w:top w:val="single" w:sz="8" w:color="0000FF"/>
            </w:tcBorders>
          </w:tcPr>
          <w:p>
            <w:pPr>
              <w:spacing w:after="0"/>
              <w:rPr>
                <w:sz w:val="11"/>
                <w:szCs w:val="11"/>
                <w:color w:val="auto"/>
              </w:rPr>
            </w:pPr>
          </w:p>
        </w:tc>
        <w:tc>
          <w:tcPr>
            <w:tcW w:w="420" w:type="dxa"/>
            <w:vAlign w:val="bottom"/>
            <w:tcBorders>
              <w:top w:val="single" w:sz="8" w:color="0000FF"/>
            </w:tcBorders>
          </w:tcPr>
          <w:p>
            <w:pPr>
              <w:spacing w:after="0"/>
              <w:rPr>
                <w:sz w:val="11"/>
                <w:szCs w:val="11"/>
                <w:color w:val="auto"/>
              </w:rPr>
            </w:pPr>
          </w:p>
        </w:tc>
        <w:tc>
          <w:tcPr>
            <w:tcW w:w="260" w:type="dxa"/>
            <w:vAlign w:val="bottom"/>
          </w:tcPr>
          <w:p>
            <w:pPr>
              <w:spacing w:after="0"/>
              <w:rPr>
                <w:sz w:val="11"/>
                <w:szCs w:val="11"/>
                <w:color w:val="auto"/>
              </w:rPr>
            </w:pPr>
          </w:p>
        </w:tc>
        <w:tc>
          <w:tcPr>
            <w:tcW w:w="1420" w:type="dxa"/>
            <w:vAlign w:val="bottom"/>
            <w:gridSpan w:val="2"/>
            <w:vMerge w:val="continue"/>
          </w:tcPr>
          <w:p>
            <w:pPr>
              <w:spacing w:after="0"/>
              <w:rPr>
                <w:sz w:val="11"/>
                <w:szCs w:val="11"/>
                <w:color w:val="auto"/>
              </w:rPr>
            </w:pPr>
          </w:p>
        </w:tc>
        <w:tc>
          <w:tcPr>
            <w:tcW w:w="100" w:type="dxa"/>
            <w:vAlign w:val="bottom"/>
            <w:gridSpan w:val="2"/>
            <w:vMerge w:val="continue"/>
          </w:tcPr>
          <w:p>
            <w:pPr>
              <w:spacing w:after="0"/>
              <w:rPr>
                <w:sz w:val="11"/>
                <w:szCs w:val="11"/>
                <w:color w:val="auto"/>
              </w:rPr>
            </w:pPr>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gridSpan w:val="2"/>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700" w:type="dxa"/>
            <w:vAlign w:val="bottom"/>
            <w:gridSpan w:val="2"/>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5740" w:type="dxa"/>
            <w:vAlign w:val="bottom"/>
            <w:gridSpan w:val="18"/>
          </w:tcPr>
          <w:p>
            <w:pPr>
              <w:spacing w:after="0"/>
              <w:rPr>
                <w:rFonts w:ascii="Arial" w:cs="Arial" w:eastAsia="Arial" w:hAnsi="Arial"/>
                <w:sz w:val="15"/>
                <w:szCs w:val="15"/>
                <w:color w:val="0000FF"/>
              </w:rPr>
            </w:pPr>
            <w:hyperlink w:anchor="page5">
              <w:r>
                <w:rPr>
                  <w:rFonts w:ascii="Arial" w:cs="Arial" w:eastAsia="Arial" w:hAnsi="Arial"/>
                  <w:sz w:val="15"/>
                  <w:szCs w:val="15"/>
                  <w:color w:val="0000FF"/>
                </w:rPr>
                <w:t>Condensed Consolidated Balance Sheets as of April 30, 2023 and January 31, 202 3</w:t>
              </w:r>
            </w:hyperlink>
          </w:p>
        </w:tc>
        <w:tc>
          <w:tcPr>
            <w:tcW w:w="2140" w:type="dxa"/>
            <w:vAlign w:val="bottom"/>
            <w:gridSpan w:val="5"/>
          </w:tcPr>
          <w:p>
            <w:pPr>
              <w:spacing w:after="0"/>
              <w:rPr>
                <w:sz w:val="19"/>
                <w:szCs w:val="19"/>
                <w:color w:val="auto"/>
              </w:rPr>
            </w:pPr>
          </w:p>
        </w:tc>
        <w:tc>
          <w:tcPr>
            <w:tcW w:w="1420" w:type="dxa"/>
            <w:vAlign w:val="bottom"/>
            <w:gridSpan w:val="2"/>
          </w:tcPr>
          <w:p>
            <w:pPr>
              <w:spacing w:after="0"/>
              <w:rPr>
                <w:sz w:val="19"/>
                <w:szCs w:val="19"/>
                <w:color w:val="auto"/>
              </w:rPr>
            </w:pPr>
          </w:p>
        </w:tc>
        <w:tc>
          <w:tcPr>
            <w:tcW w:w="100" w:type="dxa"/>
            <w:vAlign w:val="bottom"/>
            <w:gridSpan w:val="2"/>
          </w:tcPr>
          <w:p>
            <w:pPr>
              <w:jc w:val="right"/>
              <w:spacing w:after="0"/>
              <w:rPr>
                <w:rFonts w:ascii="Arial" w:cs="Arial" w:eastAsia="Arial" w:hAnsi="Arial"/>
                <w:sz w:val="15"/>
                <w:szCs w:val="15"/>
                <w:color w:val="0000FF"/>
                <w:w w:val="95"/>
              </w:rPr>
            </w:pPr>
            <w:hyperlink w:anchor="page5">
              <w:r>
                <w:rPr>
                  <w:rFonts w:ascii="Arial" w:cs="Arial" w:eastAsia="Arial" w:hAnsi="Arial"/>
                  <w:sz w:val="15"/>
                  <w:szCs w:val="15"/>
                  <w:color w:val="0000FF"/>
                  <w:w w:val="95"/>
                </w:rPr>
                <w:t>6</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0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80" w:type="dxa"/>
            <w:vAlign w:val="bottom"/>
            <w:shd w:val="clear" w:color="auto" w:fill="0000FF"/>
          </w:tcPr>
          <w:p>
            <w:pPr>
              <w:spacing w:after="0" w:line="20" w:lineRule="exact"/>
              <w:rPr>
                <w:sz w:val="1"/>
                <w:szCs w:val="1"/>
                <w:color w:val="auto"/>
              </w:rPr>
            </w:pPr>
          </w:p>
        </w:tc>
        <w:tc>
          <w:tcPr>
            <w:tcW w:w="660" w:type="dxa"/>
            <w:vAlign w:val="bottom"/>
            <w:gridSpan w:val="2"/>
            <w:shd w:val="clear" w:color="auto" w:fill="0000FF"/>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700" w:type="dxa"/>
            <w:vAlign w:val="bottom"/>
            <w:gridSpan w:val="2"/>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7200" w:type="dxa"/>
            <w:vAlign w:val="bottom"/>
            <w:gridSpan w:val="21"/>
          </w:tcPr>
          <w:p>
            <w:pPr>
              <w:spacing w:after="0"/>
              <w:rPr>
                <w:rFonts w:ascii="Arial" w:cs="Arial" w:eastAsia="Arial" w:hAnsi="Arial"/>
                <w:sz w:val="15"/>
                <w:szCs w:val="15"/>
                <w:color w:val="0000FF"/>
              </w:rPr>
            </w:pPr>
            <w:hyperlink w:anchor="page6">
              <w:r>
                <w:rPr>
                  <w:rFonts w:ascii="Arial" w:cs="Arial" w:eastAsia="Arial" w:hAnsi="Arial"/>
                  <w:sz w:val="15"/>
                  <w:szCs w:val="15"/>
                  <w:color w:val="0000FF"/>
                </w:rPr>
                <w:t xml:space="preserve">Condensed Consolidated Statements of Cash Flows for the Three Months Ended April </w:t>
              </w:r>
            </w:hyperlink>
            <w:r>
              <w:rPr>
                <w:rFonts w:ascii="Arial" w:cs="Arial" w:eastAsia="Arial" w:hAnsi="Arial"/>
                <w:sz w:val="15"/>
                <w:szCs w:val="15"/>
                <w:color w:val="0000FF"/>
              </w:rPr>
              <w:t xml:space="preserve">30, </w:t>
            </w:r>
            <w:hyperlink w:anchor="page6">
              <w:r>
                <w:rPr>
                  <w:rFonts w:ascii="Arial" w:cs="Arial" w:eastAsia="Arial" w:hAnsi="Arial"/>
                  <w:sz w:val="15"/>
                  <w:szCs w:val="15"/>
                  <w:color w:val="0000FF"/>
                </w:rPr>
                <w:t>2023 and 2022</w:t>
              </w:r>
            </w:hyperlink>
          </w:p>
        </w:tc>
        <w:tc>
          <w:tcPr>
            <w:tcW w:w="680" w:type="dxa"/>
            <w:vAlign w:val="bottom"/>
            <w:gridSpan w:val="2"/>
          </w:tcPr>
          <w:p>
            <w:pPr>
              <w:spacing w:after="0"/>
              <w:rPr>
                <w:sz w:val="19"/>
                <w:szCs w:val="19"/>
                <w:color w:val="auto"/>
              </w:rPr>
            </w:pPr>
          </w:p>
        </w:tc>
        <w:tc>
          <w:tcPr>
            <w:tcW w:w="1420" w:type="dxa"/>
            <w:vAlign w:val="bottom"/>
            <w:gridSpan w:val="2"/>
          </w:tcPr>
          <w:p>
            <w:pPr>
              <w:spacing w:after="0"/>
              <w:rPr>
                <w:sz w:val="19"/>
                <w:szCs w:val="19"/>
                <w:color w:val="auto"/>
              </w:rPr>
            </w:pPr>
          </w:p>
        </w:tc>
        <w:tc>
          <w:tcPr>
            <w:tcW w:w="100" w:type="dxa"/>
            <w:vAlign w:val="bottom"/>
            <w:gridSpan w:val="2"/>
          </w:tcPr>
          <w:p>
            <w:pPr>
              <w:jc w:val="right"/>
              <w:spacing w:after="0"/>
              <w:rPr>
                <w:rFonts w:ascii="Arial" w:cs="Arial" w:eastAsia="Arial" w:hAnsi="Arial"/>
                <w:sz w:val="15"/>
                <w:szCs w:val="15"/>
                <w:color w:val="0000FF"/>
                <w:w w:val="95"/>
              </w:rPr>
            </w:pPr>
            <w:hyperlink w:anchor="page6">
              <w:r>
                <w:rPr>
                  <w:rFonts w:ascii="Arial" w:cs="Arial" w:eastAsia="Arial" w:hAnsi="Arial"/>
                  <w:sz w:val="15"/>
                  <w:szCs w:val="15"/>
                  <w:color w:val="0000FF"/>
                  <w:w w:val="95"/>
                </w:rPr>
                <w:t>7</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0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80" w:type="dxa"/>
            <w:vAlign w:val="bottom"/>
            <w:shd w:val="clear" w:color="auto" w:fill="0000FF"/>
          </w:tcPr>
          <w:p>
            <w:pPr>
              <w:spacing w:after="0" w:line="20" w:lineRule="exact"/>
              <w:rPr>
                <w:sz w:val="1"/>
                <w:szCs w:val="1"/>
                <w:color w:val="auto"/>
              </w:rPr>
            </w:pPr>
          </w:p>
        </w:tc>
        <w:tc>
          <w:tcPr>
            <w:tcW w:w="1420" w:type="dxa"/>
            <w:vAlign w:val="bottom"/>
            <w:gridSpan w:val="3"/>
            <w:shd w:val="clear" w:color="auto" w:fill="0000FF"/>
          </w:tcPr>
          <w:p>
            <w:pPr>
              <w:spacing w:after="0" w:line="20" w:lineRule="exact"/>
              <w:rPr>
                <w:sz w:val="1"/>
                <w:szCs w:val="1"/>
                <w:color w:val="auto"/>
              </w:rPr>
            </w:pPr>
          </w:p>
        </w:tc>
        <w:tc>
          <w:tcPr>
            <w:tcW w:w="700" w:type="dxa"/>
            <w:vAlign w:val="bottom"/>
            <w:gridSpan w:val="2"/>
            <w:shd w:val="clear" w:color="auto" w:fill="0000FF"/>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3800" w:type="dxa"/>
            <w:vAlign w:val="bottom"/>
            <w:gridSpan w:val="13"/>
          </w:tcPr>
          <w:p>
            <w:pPr>
              <w:spacing w:after="0"/>
              <w:rPr>
                <w:rFonts w:ascii="Arial" w:cs="Arial" w:eastAsia="Arial" w:hAnsi="Arial"/>
                <w:sz w:val="15"/>
                <w:szCs w:val="15"/>
                <w:color w:val="0000FF"/>
              </w:rPr>
            </w:pPr>
            <w:hyperlink w:anchor="page7">
              <w:r>
                <w:rPr>
                  <w:rFonts w:ascii="Arial" w:cs="Arial" w:eastAsia="Arial" w:hAnsi="Arial"/>
                  <w:sz w:val="15"/>
                  <w:szCs w:val="15"/>
                  <w:color w:val="0000FF"/>
                </w:rPr>
                <w:t>Notes to Condensed Consolidated Financial Statements</w:t>
              </w:r>
            </w:hyperlink>
          </w:p>
        </w:tc>
        <w:tc>
          <w:tcPr>
            <w:tcW w:w="3400" w:type="dxa"/>
            <w:vAlign w:val="bottom"/>
            <w:gridSpan w:val="8"/>
          </w:tcPr>
          <w:p>
            <w:pPr>
              <w:spacing w:after="0"/>
              <w:rPr>
                <w:sz w:val="19"/>
                <w:szCs w:val="19"/>
                <w:color w:val="auto"/>
              </w:rPr>
            </w:pPr>
          </w:p>
        </w:tc>
        <w:tc>
          <w:tcPr>
            <w:tcW w:w="680" w:type="dxa"/>
            <w:vAlign w:val="bottom"/>
            <w:gridSpan w:val="2"/>
          </w:tcPr>
          <w:p>
            <w:pPr>
              <w:spacing w:after="0"/>
              <w:rPr>
                <w:sz w:val="19"/>
                <w:szCs w:val="19"/>
                <w:color w:val="auto"/>
              </w:rPr>
            </w:pPr>
          </w:p>
        </w:tc>
        <w:tc>
          <w:tcPr>
            <w:tcW w:w="1420" w:type="dxa"/>
            <w:vAlign w:val="bottom"/>
            <w:gridSpan w:val="2"/>
          </w:tcPr>
          <w:p>
            <w:pPr>
              <w:spacing w:after="0"/>
              <w:rPr>
                <w:sz w:val="19"/>
                <w:szCs w:val="19"/>
                <w:color w:val="auto"/>
              </w:rPr>
            </w:pPr>
          </w:p>
        </w:tc>
        <w:tc>
          <w:tcPr>
            <w:tcW w:w="100" w:type="dxa"/>
            <w:vAlign w:val="bottom"/>
            <w:gridSpan w:val="2"/>
          </w:tcPr>
          <w:p>
            <w:pPr>
              <w:jc w:val="right"/>
              <w:spacing w:after="0"/>
              <w:rPr>
                <w:rFonts w:ascii="Arial" w:cs="Arial" w:eastAsia="Arial" w:hAnsi="Arial"/>
                <w:sz w:val="15"/>
                <w:szCs w:val="15"/>
                <w:color w:val="0000FF"/>
                <w:w w:val="95"/>
              </w:rPr>
            </w:pPr>
            <w:hyperlink w:anchor="page7">
              <w:r>
                <w:rPr>
                  <w:rFonts w:ascii="Arial" w:cs="Arial" w:eastAsia="Arial" w:hAnsi="Arial"/>
                  <w:sz w:val="15"/>
                  <w:szCs w:val="15"/>
                  <w:color w:val="0000FF"/>
                  <w:w w:val="95"/>
                </w:rPr>
                <w:t>8</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000" w:type="dxa"/>
            <w:vAlign w:val="bottom"/>
            <w:shd w:val="clear" w:color="auto" w:fill="0000FF"/>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1420" w:type="dxa"/>
            <w:vAlign w:val="bottom"/>
            <w:gridSpan w:val="3"/>
          </w:tcPr>
          <w:p>
            <w:pPr>
              <w:spacing w:after="0" w:line="20" w:lineRule="exact"/>
              <w:rPr>
                <w:sz w:val="1"/>
                <w:szCs w:val="1"/>
                <w:color w:val="auto"/>
              </w:rPr>
            </w:pPr>
          </w:p>
        </w:tc>
        <w:tc>
          <w:tcPr>
            <w:tcW w:w="1380" w:type="dxa"/>
            <w:vAlign w:val="bottom"/>
            <w:gridSpan w:val="4"/>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2.</w:t>
            </w:r>
          </w:p>
        </w:tc>
        <w:tc>
          <w:tcPr>
            <w:tcW w:w="6500" w:type="dxa"/>
            <w:vAlign w:val="bottom"/>
            <w:gridSpan w:val="19"/>
          </w:tcPr>
          <w:p>
            <w:pPr>
              <w:spacing w:after="0"/>
              <w:rPr>
                <w:rFonts w:ascii="Arial" w:cs="Arial" w:eastAsia="Arial" w:hAnsi="Arial"/>
                <w:sz w:val="15"/>
                <w:szCs w:val="15"/>
                <w:b w:val="1"/>
                <w:bCs w:val="1"/>
                <w:color w:val="0000FF"/>
              </w:rPr>
            </w:pPr>
            <w:hyperlink w:anchor="page29">
              <w:r>
                <w:rPr>
                  <w:rFonts w:ascii="Arial" w:cs="Arial" w:eastAsia="Arial" w:hAnsi="Arial"/>
                  <w:sz w:val="15"/>
                  <w:szCs w:val="15"/>
                  <w:b w:val="1"/>
                  <w:bCs w:val="1"/>
                  <w:color w:val="0000FF"/>
                </w:rPr>
                <w:t>Management’s Discussion and Analysis of Financial Condition and Results of Operations</w:t>
              </w:r>
            </w:hyperlink>
          </w:p>
        </w:tc>
        <w:tc>
          <w:tcPr>
            <w:tcW w:w="1380" w:type="dxa"/>
            <w:vAlign w:val="bottom"/>
            <w:gridSpan w:val="4"/>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29">
              <w:r>
                <w:rPr>
                  <w:rFonts w:ascii="Arial" w:cs="Arial" w:eastAsia="Arial" w:hAnsi="Arial"/>
                  <w:sz w:val="15"/>
                  <w:szCs w:val="15"/>
                  <w:color w:val="0000FF"/>
                  <w:w w:val="95"/>
                </w:rPr>
                <w:t>30</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520" w:type="dxa"/>
            <w:vAlign w:val="bottom"/>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80" w:type="dxa"/>
            <w:vAlign w:val="bottom"/>
            <w:shd w:val="clear" w:color="auto" w:fill="0000FF"/>
          </w:tcPr>
          <w:p>
            <w:pPr>
              <w:spacing w:after="0" w:line="20" w:lineRule="exact"/>
              <w:rPr>
                <w:sz w:val="1"/>
                <w:szCs w:val="1"/>
                <w:color w:val="auto"/>
              </w:rPr>
            </w:pPr>
          </w:p>
        </w:tc>
        <w:tc>
          <w:tcPr>
            <w:tcW w:w="1420" w:type="dxa"/>
            <w:vAlign w:val="bottom"/>
            <w:gridSpan w:val="3"/>
            <w:shd w:val="clear" w:color="auto" w:fill="0000FF"/>
          </w:tcPr>
          <w:p>
            <w:pPr>
              <w:spacing w:after="0" w:line="20" w:lineRule="exact"/>
              <w:rPr>
                <w:sz w:val="1"/>
                <w:szCs w:val="1"/>
                <w:color w:val="auto"/>
              </w:rPr>
            </w:pPr>
          </w:p>
        </w:tc>
        <w:tc>
          <w:tcPr>
            <w:tcW w:w="1380" w:type="dxa"/>
            <w:vAlign w:val="bottom"/>
            <w:gridSpan w:val="4"/>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3.</w:t>
            </w:r>
          </w:p>
        </w:tc>
        <w:tc>
          <w:tcPr>
            <w:tcW w:w="4320" w:type="dxa"/>
            <w:vAlign w:val="bottom"/>
            <w:gridSpan w:val="14"/>
          </w:tcPr>
          <w:p>
            <w:pPr>
              <w:spacing w:after="0"/>
              <w:rPr>
                <w:rFonts w:ascii="Arial" w:cs="Arial" w:eastAsia="Arial" w:hAnsi="Arial"/>
                <w:sz w:val="15"/>
                <w:szCs w:val="15"/>
                <w:b w:val="1"/>
                <w:bCs w:val="1"/>
                <w:color w:val="0000FF"/>
              </w:rPr>
            </w:pPr>
            <w:hyperlink w:anchor="page47">
              <w:r>
                <w:rPr>
                  <w:rFonts w:ascii="Arial" w:cs="Arial" w:eastAsia="Arial" w:hAnsi="Arial"/>
                  <w:sz w:val="15"/>
                  <w:szCs w:val="15"/>
                  <w:b w:val="1"/>
                  <w:bCs w:val="1"/>
                  <w:color w:val="0000FF"/>
                </w:rPr>
                <w:t>Quantitative and Qualitative Disclosures About Market Risk</w:t>
              </w:r>
            </w:hyperlink>
          </w:p>
        </w:tc>
        <w:tc>
          <w:tcPr>
            <w:tcW w:w="2180" w:type="dxa"/>
            <w:vAlign w:val="bottom"/>
            <w:gridSpan w:val="5"/>
          </w:tcPr>
          <w:p>
            <w:pPr>
              <w:spacing w:after="0"/>
              <w:rPr>
                <w:sz w:val="19"/>
                <w:szCs w:val="19"/>
                <w:color w:val="auto"/>
              </w:rPr>
            </w:pPr>
          </w:p>
        </w:tc>
        <w:tc>
          <w:tcPr>
            <w:tcW w:w="1380" w:type="dxa"/>
            <w:vAlign w:val="bottom"/>
            <w:gridSpan w:val="4"/>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47">
              <w:r>
                <w:rPr>
                  <w:rFonts w:ascii="Arial" w:cs="Arial" w:eastAsia="Arial" w:hAnsi="Arial"/>
                  <w:sz w:val="15"/>
                  <w:szCs w:val="15"/>
                  <w:color w:val="0000FF"/>
                  <w:w w:val="95"/>
                </w:rPr>
                <w:t>48</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1520" w:type="dxa"/>
            <w:vAlign w:val="bottom"/>
            <w:gridSpan w:val="2"/>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800" w:type="dxa"/>
            <w:vAlign w:val="bottom"/>
            <w:gridSpan w:val="7"/>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4.</w:t>
            </w:r>
          </w:p>
        </w:tc>
        <w:tc>
          <w:tcPr>
            <w:tcW w:w="4320" w:type="dxa"/>
            <w:vAlign w:val="bottom"/>
            <w:gridSpan w:val="14"/>
          </w:tcPr>
          <w:p>
            <w:pPr>
              <w:spacing w:after="0"/>
              <w:rPr>
                <w:rFonts w:ascii="Arial" w:cs="Arial" w:eastAsia="Arial" w:hAnsi="Arial"/>
                <w:sz w:val="15"/>
                <w:szCs w:val="15"/>
                <w:b w:val="1"/>
                <w:bCs w:val="1"/>
                <w:color w:val="0000FF"/>
              </w:rPr>
            </w:pPr>
            <w:hyperlink w:anchor="page48">
              <w:r>
                <w:rPr>
                  <w:rFonts w:ascii="Arial" w:cs="Arial" w:eastAsia="Arial" w:hAnsi="Arial"/>
                  <w:sz w:val="15"/>
                  <w:szCs w:val="15"/>
                  <w:b w:val="1"/>
                  <w:bCs w:val="1"/>
                  <w:color w:val="0000FF"/>
                </w:rPr>
                <w:t>Controls and Procedures</w:t>
              </w:r>
            </w:hyperlink>
          </w:p>
        </w:tc>
        <w:tc>
          <w:tcPr>
            <w:tcW w:w="3560" w:type="dxa"/>
            <w:vAlign w:val="bottom"/>
            <w:gridSpan w:val="9"/>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48">
              <w:r>
                <w:rPr>
                  <w:rFonts w:ascii="Arial" w:cs="Arial" w:eastAsia="Arial" w:hAnsi="Arial"/>
                  <w:sz w:val="15"/>
                  <w:szCs w:val="15"/>
                  <w:color w:val="0000FF"/>
                  <w:w w:val="95"/>
                </w:rPr>
                <w:t>49</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Pr>
          <w:p>
            <w:pPr>
              <w:spacing w:after="0"/>
              <w:rPr>
                <w:sz w:val="19"/>
                <w:szCs w:val="19"/>
                <w:color w:val="auto"/>
              </w:rPr>
            </w:pPr>
          </w:p>
        </w:tc>
        <w:tc>
          <w:tcPr>
            <w:tcW w:w="320" w:type="dxa"/>
            <w:vAlign w:val="bottom"/>
            <w:tcBorders>
              <w:top w:val="single" w:sz="8" w:color="0000FF"/>
            </w:tcBorders>
          </w:tcPr>
          <w:p>
            <w:pPr>
              <w:spacing w:after="0"/>
              <w:rPr>
                <w:sz w:val="19"/>
                <w:szCs w:val="19"/>
                <w:color w:val="auto"/>
              </w:rPr>
            </w:pPr>
          </w:p>
        </w:tc>
        <w:tc>
          <w:tcPr>
            <w:tcW w:w="260" w:type="dxa"/>
            <w:vAlign w:val="bottom"/>
            <w:tcBorders>
              <w:top w:val="single" w:sz="8" w:color="0000FF"/>
            </w:tcBorders>
          </w:tcPr>
          <w:p>
            <w:pPr>
              <w:spacing w:after="0"/>
              <w:rPr>
                <w:sz w:val="19"/>
                <w:szCs w:val="19"/>
                <w:color w:val="auto"/>
              </w:rPr>
            </w:pPr>
          </w:p>
        </w:tc>
        <w:tc>
          <w:tcPr>
            <w:tcW w:w="200" w:type="dxa"/>
            <w:vAlign w:val="bottom"/>
            <w:tcBorders>
              <w:top w:val="single" w:sz="8" w:color="0000FF"/>
            </w:tcBorders>
          </w:tcPr>
          <w:p>
            <w:pPr>
              <w:spacing w:after="0"/>
              <w:rPr>
                <w:sz w:val="19"/>
                <w:szCs w:val="19"/>
                <w:color w:val="auto"/>
              </w:rPr>
            </w:pPr>
          </w:p>
        </w:tc>
        <w:tc>
          <w:tcPr>
            <w:tcW w:w="120" w:type="dxa"/>
            <w:vAlign w:val="bottom"/>
            <w:tcBorders>
              <w:top w:val="single" w:sz="8" w:color="0000FF"/>
            </w:tcBorders>
          </w:tcPr>
          <w:p>
            <w:pPr>
              <w:spacing w:after="0"/>
              <w:rPr>
                <w:sz w:val="19"/>
                <w:szCs w:val="19"/>
                <w:color w:val="auto"/>
              </w:rPr>
            </w:pPr>
          </w:p>
        </w:tc>
        <w:tc>
          <w:tcPr>
            <w:tcW w:w="380" w:type="dxa"/>
            <w:vAlign w:val="bottom"/>
            <w:tcBorders>
              <w:top w:val="single" w:sz="8" w:color="0000FF"/>
            </w:tcBorders>
          </w:tcPr>
          <w:p>
            <w:pPr>
              <w:spacing w:after="0"/>
              <w:rPr>
                <w:sz w:val="19"/>
                <w:szCs w:val="19"/>
                <w:color w:val="auto"/>
              </w:rPr>
            </w:pPr>
          </w:p>
        </w:tc>
        <w:tc>
          <w:tcPr>
            <w:tcW w:w="80" w:type="dxa"/>
            <w:vAlign w:val="bottom"/>
            <w:tcBorders>
              <w:top w:val="single" w:sz="8" w:color="0000FF"/>
            </w:tcBorders>
          </w:tcPr>
          <w:p>
            <w:pPr>
              <w:spacing w:after="0"/>
              <w:rPr>
                <w:sz w:val="19"/>
                <w:szCs w:val="19"/>
                <w:color w:val="auto"/>
              </w:rPr>
            </w:pPr>
          </w:p>
        </w:tc>
        <w:tc>
          <w:tcPr>
            <w:tcW w:w="200" w:type="dxa"/>
            <w:vAlign w:val="bottom"/>
            <w:tcBorders>
              <w:top w:val="single" w:sz="8" w:color="0000FF"/>
            </w:tcBorders>
          </w:tcPr>
          <w:p>
            <w:pPr>
              <w:spacing w:after="0"/>
              <w:rPr>
                <w:sz w:val="19"/>
                <w:szCs w:val="19"/>
                <w:color w:val="auto"/>
              </w:rPr>
            </w:pPr>
          </w:p>
        </w:tc>
        <w:tc>
          <w:tcPr>
            <w:tcW w:w="200" w:type="dxa"/>
            <w:vAlign w:val="bottom"/>
            <w:tcBorders>
              <w:top w:val="single" w:sz="8" w:color="0000FF"/>
            </w:tcBorders>
          </w:tcPr>
          <w:p>
            <w:pPr>
              <w:spacing w:after="0"/>
              <w:rPr>
                <w:sz w:val="19"/>
                <w:szCs w:val="19"/>
                <w:color w:val="auto"/>
              </w:rPr>
            </w:pPr>
          </w:p>
        </w:tc>
        <w:tc>
          <w:tcPr>
            <w:tcW w:w="40" w:type="dxa"/>
            <w:vAlign w:val="bottom"/>
            <w:tcBorders>
              <w:top w:val="single" w:sz="8" w:color="0000FF"/>
            </w:tcBorders>
          </w:tcPr>
          <w:p>
            <w:pPr>
              <w:spacing w:after="0"/>
              <w:rPr>
                <w:sz w:val="19"/>
                <w:szCs w:val="19"/>
                <w:color w:val="auto"/>
              </w:rPr>
            </w:pPr>
          </w:p>
        </w:tc>
        <w:tc>
          <w:tcPr>
            <w:tcW w:w="52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280" w:type="dxa"/>
            <w:vAlign w:val="bottom"/>
            <w:tcBorders>
              <w:bottom w:val="single" w:sz="8" w:color="0000FF"/>
            </w:tcBorders>
            <w:gridSpan w:val="4"/>
          </w:tcPr>
          <w:p>
            <w:pPr>
              <w:jc w:val="center"/>
              <w:ind w:right="20"/>
              <w:spacing w:after="0"/>
              <w:rPr>
                <w:rFonts w:ascii="Arial" w:cs="Arial" w:eastAsia="Arial" w:hAnsi="Arial"/>
                <w:sz w:val="15"/>
                <w:szCs w:val="15"/>
                <w:b w:val="1"/>
                <w:bCs w:val="1"/>
                <w:color w:val="0000FF"/>
              </w:rPr>
            </w:pPr>
            <w:hyperlink w:anchor="page49">
              <w:r>
                <w:rPr>
                  <w:rFonts w:ascii="Arial" w:cs="Arial" w:eastAsia="Arial" w:hAnsi="Arial"/>
                  <w:sz w:val="15"/>
                  <w:szCs w:val="15"/>
                  <w:b w:val="1"/>
                  <w:bCs w:val="1"/>
                  <w:color w:val="0000FF"/>
                </w:rPr>
                <w:t>PART II. OTHER INFORMATION</w:t>
              </w:r>
            </w:hyperlink>
          </w:p>
        </w:tc>
        <w:tc>
          <w:tcPr>
            <w:tcW w:w="2800" w:type="dxa"/>
            <w:vAlign w:val="bottom"/>
            <w:gridSpan w:val="7"/>
          </w:tcPr>
          <w:p>
            <w:pPr>
              <w:spacing w:after="0"/>
              <w:rPr>
                <w:sz w:val="19"/>
                <w:szCs w:val="19"/>
                <w:color w:val="auto"/>
              </w:rPr>
            </w:pPr>
          </w:p>
        </w:tc>
        <w:tc>
          <w:tcPr>
            <w:tcW w:w="1340" w:type="dxa"/>
            <w:vAlign w:val="bottom"/>
          </w:tcPr>
          <w:p>
            <w:pPr>
              <w:spacing w:after="0"/>
              <w:rPr>
                <w:sz w:val="19"/>
                <w:szCs w:val="19"/>
                <w:color w:val="auto"/>
              </w:rPr>
            </w:pPr>
          </w:p>
        </w:tc>
        <w:tc>
          <w:tcPr>
            <w:tcW w:w="80" w:type="dxa"/>
            <w:vAlign w:val="bottom"/>
            <w:tcBorders>
              <w:top w:val="single" w:sz="8" w:color="0000FF"/>
            </w:tcBorders>
          </w:tcPr>
          <w:p>
            <w:pPr>
              <w:spacing w:after="0"/>
              <w:rPr>
                <w:sz w:val="19"/>
                <w:szCs w:val="19"/>
                <w:color w:val="auto"/>
              </w:rPr>
            </w:pPr>
          </w:p>
        </w:tc>
        <w:tc>
          <w:tcPr>
            <w:tcW w:w="80" w:type="dxa"/>
            <w:vAlign w:val="bottom"/>
            <w:tcBorders>
              <w:top w:val="single" w:sz="8" w:color="0000FF"/>
            </w:tcBorders>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1.</w:t>
            </w:r>
          </w:p>
        </w:tc>
        <w:tc>
          <w:tcPr>
            <w:tcW w:w="1360" w:type="dxa"/>
            <w:vAlign w:val="bottom"/>
            <w:gridSpan w:val="6"/>
          </w:tcPr>
          <w:p>
            <w:pPr>
              <w:spacing w:after="0"/>
              <w:rPr>
                <w:rFonts w:ascii="Arial" w:cs="Arial" w:eastAsia="Arial" w:hAnsi="Arial"/>
                <w:sz w:val="15"/>
                <w:szCs w:val="15"/>
                <w:b w:val="1"/>
                <w:bCs w:val="1"/>
                <w:color w:val="0000FF"/>
              </w:rPr>
            </w:pPr>
            <w:hyperlink w:anchor="page50">
              <w:r>
                <w:rPr>
                  <w:rFonts w:ascii="Arial" w:cs="Arial" w:eastAsia="Arial" w:hAnsi="Arial"/>
                  <w:sz w:val="15"/>
                  <w:szCs w:val="15"/>
                  <w:b w:val="1"/>
                  <w:bCs w:val="1"/>
                  <w:color w:val="0000FF"/>
                </w:rPr>
                <w:t>Legal Proceedings</w:t>
              </w:r>
            </w:hyperlink>
          </w:p>
        </w:tc>
        <w:tc>
          <w:tcPr>
            <w:tcW w:w="6520" w:type="dxa"/>
            <w:vAlign w:val="bottom"/>
            <w:gridSpan w:val="17"/>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50">
              <w:r>
                <w:rPr>
                  <w:rFonts w:ascii="Arial" w:cs="Arial" w:eastAsia="Arial" w:hAnsi="Arial"/>
                  <w:sz w:val="15"/>
                  <w:szCs w:val="15"/>
                  <w:color w:val="0000FF"/>
                  <w:w w:val="95"/>
                </w:rPr>
                <w:t>50</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0" w:type="dxa"/>
            <w:vAlign w:val="bottom"/>
            <w:gridSpan w:val="2"/>
          </w:tcPr>
          <w:p>
            <w:pPr>
              <w:spacing w:after="0" w:line="20" w:lineRule="exact"/>
              <w:rPr>
                <w:sz w:val="1"/>
                <w:szCs w:val="1"/>
                <w:color w:val="auto"/>
              </w:rPr>
            </w:pPr>
          </w:p>
        </w:tc>
        <w:tc>
          <w:tcPr>
            <w:tcW w:w="560" w:type="dxa"/>
            <w:vAlign w:val="bottom"/>
            <w:gridSpan w:val="2"/>
          </w:tcPr>
          <w:p>
            <w:pPr>
              <w:spacing w:after="0" w:line="20" w:lineRule="exact"/>
              <w:rPr>
                <w:sz w:val="1"/>
                <w:szCs w:val="1"/>
                <w:color w:val="auto"/>
              </w:rPr>
            </w:pPr>
          </w:p>
        </w:tc>
        <w:tc>
          <w:tcPr>
            <w:tcW w:w="2080" w:type="dxa"/>
            <w:vAlign w:val="bottom"/>
            <w:gridSpan w:val="5"/>
          </w:tcPr>
          <w:p>
            <w:pPr>
              <w:spacing w:after="0" w:line="20" w:lineRule="exact"/>
              <w:rPr>
                <w:sz w:val="1"/>
                <w:szCs w:val="1"/>
                <w:color w:val="auto"/>
              </w:rPr>
            </w:pPr>
          </w:p>
        </w:tc>
        <w:tc>
          <w:tcPr>
            <w:tcW w:w="3480" w:type="dxa"/>
            <w:vAlign w:val="bottom"/>
            <w:gridSpan w:val="8"/>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1A.</w:t>
            </w:r>
          </w:p>
        </w:tc>
        <w:tc>
          <w:tcPr>
            <w:tcW w:w="1360" w:type="dxa"/>
            <w:vAlign w:val="bottom"/>
            <w:gridSpan w:val="6"/>
          </w:tcPr>
          <w:p>
            <w:pPr>
              <w:spacing w:after="0"/>
              <w:rPr>
                <w:rFonts w:ascii="Arial" w:cs="Arial" w:eastAsia="Arial" w:hAnsi="Arial"/>
                <w:sz w:val="15"/>
                <w:szCs w:val="15"/>
                <w:b w:val="1"/>
                <w:bCs w:val="1"/>
                <w:color w:val="0000FF"/>
              </w:rPr>
            </w:pPr>
            <w:hyperlink w:anchor="page50">
              <w:r>
                <w:rPr>
                  <w:rFonts w:ascii="Arial" w:cs="Arial" w:eastAsia="Arial" w:hAnsi="Arial"/>
                  <w:sz w:val="15"/>
                  <w:szCs w:val="15"/>
                  <w:b w:val="1"/>
                  <w:bCs w:val="1"/>
                  <w:color w:val="0000FF"/>
                </w:rPr>
                <w:t>Risk Factors</w:t>
              </w:r>
            </w:hyperlink>
          </w:p>
        </w:tc>
        <w:tc>
          <w:tcPr>
            <w:tcW w:w="6520" w:type="dxa"/>
            <w:vAlign w:val="bottom"/>
            <w:gridSpan w:val="17"/>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50">
              <w:r>
                <w:rPr>
                  <w:rFonts w:ascii="Arial" w:cs="Arial" w:eastAsia="Arial" w:hAnsi="Arial"/>
                  <w:sz w:val="15"/>
                  <w:szCs w:val="15"/>
                  <w:color w:val="0000FF"/>
                  <w:w w:val="95"/>
                </w:rPr>
                <w:t>50</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480" w:type="dxa"/>
            <w:vAlign w:val="bottom"/>
            <w:gridSpan w:val="3"/>
          </w:tcPr>
          <w:p>
            <w:pPr>
              <w:spacing w:after="0" w:line="20" w:lineRule="exact"/>
              <w:rPr>
                <w:sz w:val="1"/>
                <w:szCs w:val="1"/>
                <w:color w:val="auto"/>
              </w:rPr>
            </w:pPr>
          </w:p>
        </w:tc>
        <w:tc>
          <w:tcPr>
            <w:tcW w:w="560" w:type="dxa"/>
            <w:vAlign w:val="bottom"/>
            <w:gridSpan w:val="2"/>
          </w:tcPr>
          <w:p>
            <w:pPr>
              <w:spacing w:after="0" w:line="20" w:lineRule="exact"/>
              <w:rPr>
                <w:sz w:val="1"/>
                <w:szCs w:val="1"/>
                <w:color w:val="auto"/>
              </w:rPr>
            </w:pPr>
          </w:p>
        </w:tc>
        <w:tc>
          <w:tcPr>
            <w:tcW w:w="2080" w:type="dxa"/>
            <w:vAlign w:val="bottom"/>
            <w:gridSpan w:val="5"/>
          </w:tcPr>
          <w:p>
            <w:pPr>
              <w:spacing w:after="0" w:line="20" w:lineRule="exact"/>
              <w:rPr>
                <w:sz w:val="1"/>
                <w:szCs w:val="1"/>
                <w:color w:val="auto"/>
              </w:rPr>
            </w:pPr>
          </w:p>
        </w:tc>
        <w:tc>
          <w:tcPr>
            <w:tcW w:w="3480" w:type="dxa"/>
            <w:vAlign w:val="bottom"/>
            <w:gridSpan w:val="8"/>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2.</w:t>
            </w:r>
          </w:p>
        </w:tc>
        <w:tc>
          <w:tcPr>
            <w:tcW w:w="4400" w:type="dxa"/>
            <w:vAlign w:val="bottom"/>
            <w:gridSpan w:val="15"/>
          </w:tcPr>
          <w:p>
            <w:pPr>
              <w:spacing w:after="0"/>
              <w:rPr>
                <w:rFonts w:ascii="Arial" w:cs="Arial" w:eastAsia="Arial" w:hAnsi="Arial"/>
                <w:sz w:val="15"/>
                <w:szCs w:val="15"/>
                <w:b w:val="1"/>
                <w:bCs w:val="1"/>
                <w:color w:val="0000FF"/>
              </w:rPr>
            </w:pPr>
            <w:hyperlink w:anchor="page67">
              <w:r>
                <w:rPr>
                  <w:rFonts w:ascii="Arial" w:cs="Arial" w:eastAsia="Arial" w:hAnsi="Arial"/>
                  <w:sz w:val="15"/>
                  <w:szCs w:val="15"/>
                  <w:b w:val="1"/>
                  <w:bCs w:val="1"/>
                  <w:color w:val="0000FF"/>
                </w:rPr>
                <w:t>Unregistered Sales of Equity Securities and Use of Proceeds</w:t>
              </w:r>
            </w:hyperlink>
          </w:p>
        </w:tc>
        <w:tc>
          <w:tcPr>
            <w:tcW w:w="3480" w:type="dxa"/>
            <w:vAlign w:val="bottom"/>
            <w:gridSpan w:val="8"/>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67">
              <w:r>
                <w:rPr>
                  <w:rFonts w:ascii="Arial" w:cs="Arial" w:eastAsia="Arial" w:hAnsi="Arial"/>
                  <w:sz w:val="15"/>
                  <w:szCs w:val="15"/>
                  <w:color w:val="0000FF"/>
                  <w:w w:val="95"/>
                </w:rPr>
                <w:t>67</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500" w:type="dxa"/>
            <w:vAlign w:val="bottom"/>
            <w:gridSpan w:val="2"/>
            <w:shd w:val="clear" w:color="auto" w:fill="0000FF"/>
          </w:tcPr>
          <w:p>
            <w:pPr>
              <w:spacing w:after="0" w:line="20" w:lineRule="exact"/>
              <w:rPr>
                <w:sz w:val="1"/>
                <w:szCs w:val="1"/>
                <w:color w:val="auto"/>
              </w:rPr>
            </w:pPr>
          </w:p>
        </w:tc>
        <w:tc>
          <w:tcPr>
            <w:tcW w:w="480" w:type="dxa"/>
            <w:vAlign w:val="bottom"/>
            <w:gridSpan w:val="3"/>
            <w:shd w:val="clear" w:color="auto" w:fill="0000FF"/>
          </w:tcPr>
          <w:p>
            <w:pPr>
              <w:spacing w:after="0" w:line="20" w:lineRule="exact"/>
              <w:rPr>
                <w:sz w:val="1"/>
                <w:szCs w:val="1"/>
                <w:color w:val="auto"/>
              </w:rPr>
            </w:pPr>
          </w:p>
        </w:tc>
        <w:tc>
          <w:tcPr>
            <w:tcW w:w="560" w:type="dxa"/>
            <w:vAlign w:val="bottom"/>
            <w:gridSpan w:val="2"/>
            <w:shd w:val="clear" w:color="auto" w:fill="0000FF"/>
          </w:tcPr>
          <w:p>
            <w:pPr>
              <w:spacing w:after="0" w:line="20" w:lineRule="exact"/>
              <w:rPr>
                <w:sz w:val="1"/>
                <w:szCs w:val="1"/>
                <w:color w:val="auto"/>
              </w:rPr>
            </w:pPr>
          </w:p>
        </w:tc>
        <w:tc>
          <w:tcPr>
            <w:tcW w:w="2080" w:type="dxa"/>
            <w:vAlign w:val="bottom"/>
            <w:gridSpan w:val="5"/>
            <w:shd w:val="clear" w:color="auto" w:fill="0000FF"/>
          </w:tcPr>
          <w:p>
            <w:pPr>
              <w:spacing w:after="0" w:line="20" w:lineRule="exact"/>
              <w:rPr>
                <w:sz w:val="1"/>
                <w:szCs w:val="1"/>
                <w:color w:val="auto"/>
              </w:rPr>
            </w:pPr>
          </w:p>
        </w:tc>
        <w:tc>
          <w:tcPr>
            <w:tcW w:w="3480" w:type="dxa"/>
            <w:vAlign w:val="bottom"/>
            <w:gridSpan w:val="8"/>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3.</w:t>
            </w:r>
          </w:p>
        </w:tc>
        <w:tc>
          <w:tcPr>
            <w:tcW w:w="2320" w:type="dxa"/>
            <w:vAlign w:val="bottom"/>
            <w:gridSpan w:val="10"/>
          </w:tcPr>
          <w:p>
            <w:pPr>
              <w:spacing w:after="0"/>
              <w:rPr>
                <w:rFonts w:ascii="Arial" w:cs="Arial" w:eastAsia="Arial" w:hAnsi="Arial"/>
                <w:sz w:val="15"/>
                <w:szCs w:val="15"/>
                <w:b w:val="1"/>
                <w:bCs w:val="1"/>
                <w:color w:val="0000FF"/>
              </w:rPr>
            </w:pPr>
            <w:hyperlink w:anchor="page67">
              <w:r>
                <w:rPr>
                  <w:rFonts w:ascii="Arial" w:cs="Arial" w:eastAsia="Arial" w:hAnsi="Arial"/>
                  <w:sz w:val="15"/>
                  <w:szCs w:val="15"/>
                  <w:b w:val="1"/>
                  <w:bCs w:val="1"/>
                  <w:color w:val="0000FF"/>
                </w:rPr>
                <w:t>Defaults Upon Senior Securities</w:t>
              </w:r>
            </w:hyperlink>
          </w:p>
        </w:tc>
        <w:tc>
          <w:tcPr>
            <w:tcW w:w="2080" w:type="dxa"/>
            <w:vAlign w:val="bottom"/>
            <w:gridSpan w:val="5"/>
          </w:tcPr>
          <w:p>
            <w:pPr>
              <w:spacing w:after="0"/>
              <w:rPr>
                <w:sz w:val="19"/>
                <w:szCs w:val="19"/>
                <w:color w:val="auto"/>
              </w:rPr>
            </w:pPr>
          </w:p>
        </w:tc>
        <w:tc>
          <w:tcPr>
            <w:tcW w:w="3480" w:type="dxa"/>
            <w:vAlign w:val="bottom"/>
            <w:gridSpan w:val="8"/>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67">
              <w:r>
                <w:rPr>
                  <w:rFonts w:ascii="Arial" w:cs="Arial" w:eastAsia="Arial" w:hAnsi="Arial"/>
                  <w:sz w:val="15"/>
                  <w:szCs w:val="15"/>
                  <w:color w:val="0000FF"/>
                  <w:w w:val="95"/>
                </w:rPr>
                <w:t>67</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500" w:type="dxa"/>
            <w:vAlign w:val="bottom"/>
            <w:gridSpan w:val="2"/>
            <w:shd w:val="clear" w:color="auto" w:fill="0000FF"/>
          </w:tcPr>
          <w:p>
            <w:pPr>
              <w:spacing w:after="0" w:line="20" w:lineRule="exact"/>
              <w:rPr>
                <w:sz w:val="1"/>
                <w:szCs w:val="1"/>
                <w:color w:val="auto"/>
              </w:rPr>
            </w:pPr>
          </w:p>
        </w:tc>
        <w:tc>
          <w:tcPr>
            <w:tcW w:w="480" w:type="dxa"/>
            <w:vAlign w:val="bottom"/>
            <w:gridSpan w:val="3"/>
            <w:shd w:val="clear" w:color="auto" w:fill="0000FF"/>
          </w:tcPr>
          <w:p>
            <w:pPr>
              <w:spacing w:after="0" w:line="20" w:lineRule="exact"/>
              <w:rPr>
                <w:sz w:val="1"/>
                <w:szCs w:val="1"/>
                <w:color w:val="auto"/>
              </w:rPr>
            </w:pPr>
          </w:p>
        </w:tc>
        <w:tc>
          <w:tcPr>
            <w:tcW w:w="560" w:type="dxa"/>
            <w:vAlign w:val="bottom"/>
            <w:gridSpan w:val="2"/>
            <w:shd w:val="clear" w:color="auto" w:fill="0000FF"/>
          </w:tcPr>
          <w:p>
            <w:pPr>
              <w:spacing w:after="0" w:line="20" w:lineRule="exact"/>
              <w:rPr>
                <w:sz w:val="1"/>
                <w:szCs w:val="1"/>
                <w:color w:val="auto"/>
              </w:rPr>
            </w:pPr>
          </w:p>
        </w:tc>
        <w:tc>
          <w:tcPr>
            <w:tcW w:w="5560" w:type="dxa"/>
            <w:vAlign w:val="bottom"/>
            <w:gridSpan w:val="13"/>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4.</w:t>
            </w:r>
          </w:p>
        </w:tc>
        <w:tc>
          <w:tcPr>
            <w:tcW w:w="1760" w:type="dxa"/>
            <w:vAlign w:val="bottom"/>
            <w:gridSpan w:val="8"/>
          </w:tcPr>
          <w:p>
            <w:pPr>
              <w:spacing w:after="0"/>
              <w:rPr>
                <w:rFonts w:ascii="Arial" w:cs="Arial" w:eastAsia="Arial" w:hAnsi="Arial"/>
                <w:sz w:val="15"/>
                <w:szCs w:val="15"/>
                <w:b w:val="1"/>
                <w:bCs w:val="1"/>
                <w:color w:val="0000FF"/>
              </w:rPr>
            </w:pPr>
            <w:hyperlink w:anchor="page67">
              <w:r>
                <w:rPr>
                  <w:rFonts w:ascii="Arial" w:cs="Arial" w:eastAsia="Arial" w:hAnsi="Arial"/>
                  <w:sz w:val="15"/>
                  <w:szCs w:val="15"/>
                  <w:b w:val="1"/>
                  <w:bCs w:val="1"/>
                  <w:color w:val="0000FF"/>
                </w:rPr>
                <w:t>Mine Safety Disclosures</w:t>
              </w:r>
            </w:hyperlink>
          </w:p>
        </w:tc>
        <w:tc>
          <w:tcPr>
            <w:tcW w:w="560" w:type="dxa"/>
            <w:vAlign w:val="bottom"/>
            <w:gridSpan w:val="2"/>
          </w:tcPr>
          <w:p>
            <w:pPr>
              <w:spacing w:after="0"/>
              <w:rPr>
                <w:sz w:val="19"/>
                <w:szCs w:val="19"/>
                <w:color w:val="auto"/>
              </w:rPr>
            </w:pPr>
          </w:p>
        </w:tc>
        <w:tc>
          <w:tcPr>
            <w:tcW w:w="5560" w:type="dxa"/>
            <w:vAlign w:val="bottom"/>
            <w:gridSpan w:val="13"/>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67">
              <w:r>
                <w:rPr>
                  <w:rFonts w:ascii="Arial" w:cs="Arial" w:eastAsia="Arial" w:hAnsi="Arial"/>
                  <w:sz w:val="15"/>
                  <w:szCs w:val="15"/>
                  <w:color w:val="0000FF"/>
                  <w:w w:val="95"/>
                </w:rPr>
                <w:t>68</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500" w:type="dxa"/>
            <w:vAlign w:val="bottom"/>
            <w:gridSpan w:val="2"/>
            <w:shd w:val="clear" w:color="auto" w:fill="0000FF"/>
          </w:tcPr>
          <w:p>
            <w:pPr>
              <w:spacing w:after="0" w:line="20" w:lineRule="exact"/>
              <w:rPr>
                <w:sz w:val="1"/>
                <w:szCs w:val="1"/>
                <w:color w:val="auto"/>
              </w:rPr>
            </w:pPr>
          </w:p>
        </w:tc>
        <w:tc>
          <w:tcPr>
            <w:tcW w:w="480" w:type="dxa"/>
            <w:vAlign w:val="bottom"/>
            <w:gridSpan w:val="3"/>
            <w:shd w:val="clear" w:color="auto" w:fill="0000FF"/>
          </w:tcPr>
          <w:p>
            <w:pPr>
              <w:spacing w:after="0" w:line="20" w:lineRule="exact"/>
              <w:rPr>
                <w:sz w:val="1"/>
                <w:szCs w:val="1"/>
                <w:color w:val="auto"/>
              </w:rPr>
            </w:pPr>
          </w:p>
        </w:tc>
        <w:tc>
          <w:tcPr>
            <w:tcW w:w="6120" w:type="dxa"/>
            <w:vAlign w:val="bottom"/>
            <w:gridSpan w:val="15"/>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5.</w:t>
            </w:r>
          </w:p>
        </w:tc>
        <w:tc>
          <w:tcPr>
            <w:tcW w:w="1280" w:type="dxa"/>
            <w:vAlign w:val="bottom"/>
            <w:gridSpan w:val="5"/>
          </w:tcPr>
          <w:p>
            <w:pPr>
              <w:spacing w:after="0"/>
              <w:rPr>
                <w:rFonts w:ascii="Arial" w:cs="Arial" w:eastAsia="Arial" w:hAnsi="Arial"/>
                <w:sz w:val="15"/>
                <w:szCs w:val="15"/>
                <w:b w:val="1"/>
                <w:bCs w:val="1"/>
                <w:color w:val="0000FF"/>
                <w:w w:val="99"/>
              </w:rPr>
            </w:pPr>
            <w:hyperlink w:anchor="page68">
              <w:r>
                <w:rPr>
                  <w:rFonts w:ascii="Arial" w:cs="Arial" w:eastAsia="Arial" w:hAnsi="Arial"/>
                  <w:sz w:val="15"/>
                  <w:szCs w:val="15"/>
                  <w:b w:val="1"/>
                  <w:bCs w:val="1"/>
                  <w:color w:val="0000FF"/>
                  <w:w w:val="99"/>
                </w:rPr>
                <w:t>Other Information</w:t>
              </w:r>
            </w:hyperlink>
          </w:p>
        </w:tc>
        <w:tc>
          <w:tcPr>
            <w:tcW w:w="480" w:type="dxa"/>
            <w:vAlign w:val="bottom"/>
            <w:gridSpan w:val="3"/>
          </w:tcPr>
          <w:p>
            <w:pPr>
              <w:spacing w:after="0"/>
              <w:rPr>
                <w:sz w:val="19"/>
                <w:szCs w:val="19"/>
                <w:color w:val="auto"/>
              </w:rPr>
            </w:pPr>
          </w:p>
        </w:tc>
        <w:tc>
          <w:tcPr>
            <w:tcW w:w="6120" w:type="dxa"/>
            <w:vAlign w:val="bottom"/>
            <w:gridSpan w:val="15"/>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68">
              <w:r>
                <w:rPr>
                  <w:rFonts w:ascii="Arial" w:cs="Arial" w:eastAsia="Arial" w:hAnsi="Arial"/>
                  <w:sz w:val="15"/>
                  <w:szCs w:val="15"/>
                  <w:color w:val="0000FF"/>
                  <w:w w:val="95"/>
                </w:rPr>
                <w:t>68</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500" w:type="dxa"/>
            <w:vAlign w:val="bottom"/>
            <w:gridSpan w:val="2"/>
            <w:shd w:val="clear" w:color="auto" w:fill="0000FF"/>
          </w:tcPr>
          <w:p>
            <w:pPr>
              <w:spacing w:after="0" w:line="20" w:lineRule="exact"/>
              <w:rPr>
                <w:sz w:val="1"/>
                <w:szCs w:val="1"/>
                <w:color w:val="auto"/>
              </w:rPr>
            </w:pPr>
          </w:p>
        </w:tc>
        <w:tc>
          <w:tcPr>
            <w:tcW w:w="6600" w:type="dxa"/>
            <w:vAlign w:val="bottom"/>
            <w:gridSpan w:val="18"/>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ind w:left="20"/>
              <w:spacing w:after="0"/>
              <w:rPr>
                <w:sz w:val="20"/>
                <w:szCs w:val="20"/>
                <w:color w:val="auto"/>
              </w:rPr>
            </w:pPr>
            <w:r>
              <w:rPr>
                <w:rFonts w:ascii="Arial" w:cs="Arial" w:eastAsia="Arial" w:hAnsi="Arial"/>
                <w:sz w:val="15"/>
                <w:szCs w:val="15"/>
                <w:b w:val="1"/>
                <w:bCs w:val="1"/>
                <w:color w:val="auto"/>
              </w:rPr>
              <w:t>Item 6.</w:t>
            </w:r>
          </w:p>
        </w:tc>
        <w:tc>
          <w:tcPr>
            <w:tcW w:w="1280" w:type="dxa"/>
            <w:vAlign w:val="bottom"/>
            <w:gridSpan w:val="5"/>
          </w:tcPr>
          <w:p>
            <w:pPr>
              <w:spacing w:after="0"/>
              <w:rPr>
                <w:rFonts w:ascii="Arial" w:cs="Arial" w:eastAsia="Arial" w:hAnsi="Arial"/>
                <w:sz w:val="15"/>
                <w:szCs w:val="15"/>
                <w:b w:val="1"/>
                <w:bCs w:val="1"/>
                <w:color w:val="0000FF"/>
              </w:rPr>
            </w:pPr>
            <w:hyperlink w:anchor="page68">
              <w:r>
                <w:rPr>
                  <w:rFonts w:ascii="Arial" w:cs="Arial" w:eastAsia="Arial" w:hAnsi="Arial"/>
                  <w:sz w:val="15"/>
                  <w:szCs w:val="15"/>
                  <w:b w:val="1"/>
                  <w:bCs w:val="1"/>
                  <w:color w:val="0000FF"/>
                </w:rPr>
                <w:t>Exhibits</w:t>
              </w:r>
            </w:hyperlink>
          </w:p>
        </w:tc>
        <w:tc>
          <w:tcPr>
            <w:tcW w:w="6600" w:type="dxa"/>
            <w:vAlign w:val="bottom"/>
            <w:gridSpan w:val="18"/>
          </w:tcPr>
          <w:p>
            <w:pPr>
              <w:spacing w:after="0"/>
              <w:rPr>
                <w:sz w:val="19"/>
                <w:szCs w:val="19"/>
                <w:color w:val="auto"/>
              </w:rPr>
            </w:pPr>
          </w:p>
        </w:tc>
        <w:tc>
          <w:tcPr>
            <w:tcW w:w="1340" w:type="dxa"/>
            <w:vAlign w:val="bottom"/>
          </w:tcPr>
          <w:p>
            <w:pPr>
              <w:spacing w:after="0"/>
              <w:rPr>
                <w:sz w:val="19"/>
                <w:szCs w:val="19"/>
                <w:color w:val="auto"/>
              </w:rPr>
            </w:pPr>
          </w:p>
        </w:tc>
        <w:tc>
          <w:tcPr>
            <w:tcW w:w="180" w:type="dxa"/>
            <w:vAlign w:val="bottom"/>
            <w:gridSpan w:val="3"/>
          </w:tcPr>
          <w:p>
            <w:pPr>
              <w:jc w:val="right"/>
              <w:spacing w:after="0"/>
              <w:rPr>
                <w:rFonts w:ascii="Arial" w:cs="Arial" w:eastAsia="Arial" w:hAnsi="Arial"/>
                <w:sz w:val="15"/>
                <w:szCs w:val="15"/>
                <w:color w:val="0000FF"/>
                <w:w w:val="95"/>
              </w:rPr>
            </w:pPr>
            <w:hyperlink w:anchor="page68">
              <w:r>
                <w:rPr>
                  <w:rFonts w:ascii="Arial" w:cs="Arial" w:eastAsia="Arial" w:hAnsi="Arial"/>
                  <w:sz w:val="15"/>
                  <w:szCs w:val="15"/>
                  <w:color w:val="0000FF"/>
                  <w:w w:val="95"/>
                </w:rPr>
                <w:t>68</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7100" w:type="dxa"/>
            <w:vAlign w:val="bottom"/>
            <w:gridSpan w:val="20"/>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6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6"/>
        </w:trPr>
        <w:tc>
          <w:tcPr>
            <w:tcW w:w="1160" w:type="dxa"/>
            <w:vAlign w:val="bottom"/>
          </w:tcPr>
          <w:p>
            <w:pPr>
              <w:spacing w:after="0"/>
              <w:rPr>
                <w:sz w:val="19"/>
                <w:szCs w:val="19"/>
                <w:color w:val="auto"/>
              </w:rPr>
            </w:pPr>
          </w:p>
        </w:tc>
        <w:tc>
          <w:tcPr>
            <w:tcW w:w="7880" w:type="dxa"/>
            <w:vAlign w:val="bottom"/>
            <w:gridSpan w:val="23"/>
          </w:tcPr>
          <w:p>
            <w:pPr>
              <w:spacing w:after="0"/>
              <w:rPr>
                <w:rFonts w:ascii="Arial" w:cs="Arial" w:eastAsia="Arial" w:hAnsi="Arial"/>
                <w:sz w:val="15"/>
                <w:szCs w:val="15"/>
                <w:b w:val="1"/>
                <w:bCs w:val="1"/>
                <w:color w:val="0000FF"/>
              </w:rPr>
            </w:pPr>
            <w:hyperlink w:anchor="page68">
              <w:r>
                <w:rPr>
                  <w:rFonts w:ascii="Arial" w:cs="Arial" w:eastAsia="Arial" w:hAnsi="Arial"/>
                  <w:sz w:val="15"/>
                  <w:szCs w:val="15"/>
                  <w:b w:val="1"/>
                  <w:bCs w:val="1"/>
                  <w:color w:val="0000FF"/>
                </w:rPr>
                <w:t>Signatures</w:t>
              </w:r>
            </w:hyperlink>
          </w:p>
        </w:tc>
        <w:tc>
          <w:tcPr>
            <w:tcW w:w="1520" w:type="dxa"/>
            <w:vAlign w:val="bottom"/>
            <w:gridSpan w:val="4"/>
          </w:tcPr>
          <w:p>
            <w:pPr>
              <w:jc w:val="right"/>
              <w:spacing w:after="0"/>
              <w:rPr>
                <w:rFonts w:ascii="Arial" w:cs="Arial" w:eastAsia="Arial" w:hAnsi="Arial"/>
                <w:sz w:val="15"/>
                <w:szCs w:val="15"/>
                <w:color w:val="0000FF"/>
              </w:rPr>
            </w:pPr>
            <w:hyperlink w:anchor="page68">
              <w:r>
                <w:rPr>
                  <w:rFonts w:ascii="Arial" w:cs="Arial" w:eastAsia="Arial" w:hAnsi="Arial"/>
                  <w:sz w:val="15"/>
                  <w:szCs w:val="15"/>
                  <w:color w:val="0000FF"/>
                </w:rPr>
                <w:t>69</w:t>
              </w:r>
            </w:hyperlink>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081"/>
        </w:trPr>
        <w:tc>
          <w:tcPr>
            <w:tcW w:w="1160" w:type="dxa"/>
            <w:vAlign w:val="bottom"/>
            <w:tcBorders>
              <w:bottom w:val="single" w:sz="8" w:color="EEEEEE"/>
            </w:tcBorders>
          </w:tcPr>
          <w:p>
            <w:pPr>
              <w:spacing w:after="0"/>
              <w:rPr>
                <w:sz w:val="24"/>
                <w:szCs w:val="24"/>
                <w:color w:val="auto"/>
              </w:rPr>
            </w:pPr>
          </w:p>
        </w:tc>
        <w:tc>
          <w:tcPr>
            <w:tcW w:w="320" w:type="dxa"/>
            <w:vAlign w:val="bottom"/>
            <w:tcBorders>
              <w:top w:val="single" w:sz="8" w:color="0000FF"/>
              <w:bottom w:val="single" w:sz="8" w:color="EEEEEE"/>
            </w:tcBorders>
          </w:tcPr>
          <w:p>
            <w:pPr>
              <w:spacing w:after="0"/>
              <w:rPr>
                <w:sz w:val="24"/>
                <w:szCs w:val="24"/>
                <w:color w:val="auto"/>
              </w:rPr>
            </w:pPr>
          </w:p>
        </w:tc>
        <w:tc>
          <w:tcPr>
            <w:tcW w:w="260" w:type="dxa"/>
            <w:vAlign w:val="bottom"/>
            <w:tcBorders>
              <w:top w:val="single" w:sz="8" w:color="0000FF"/>
              <w:bottom w:val="single" w:sz="8" w:color="EEEEEE"/>
            </w:tcBorders>
          </w:tcPr>
          <w:p>
            <w:pPr>
              <w:spacing w:after="0"/>
              <w:rPr>
                <w:sz w:val="24"/>
                <w:szCs w:val="24"/>
                <w:color w:val="auto"/>
              </w:rPr>
            </w:pPr>
          </w:p>
        </w:tc>
        <w:tc>
          <w:tcPr>
            <w:tcW w:w="200" w:type="dxa"/>
            <w:vAlign w:val="bottom"/>
            <w:tcBorders>
              <w:top w:val="single" w:sz="8" w:color="0000FF"/>
              <w:bottom w:val="single" w:sz="8" w:color="EEEEEE"/>
            </w:tcBorders>
          </w:tcPr>
          <w:p>
            <w:pPr>
              <w:spacing w:after="0"/>
              <w:rPr>
                <w:sz w:val="24"/>
                <w:szCs w:val="24"/>
                <w:color w:val="auto"/>
              </w:rPr>
            </w:pPr>
          </w:p>
        </w:tc>
        <w:tc>
          <w:tcPr>
            <w:tcW w:w="120" w:type="dxa"/>
            <w:vAlign w:val="bottom"/>
            <w:tcBorders>
              <w:bottom w:val="single" w:sz="8" w:color="EEEEEE"/>
            </w:tcBorders>
          </w:tcPr>
          <w:p>
            <w:pPr>
              <w:spacing w:after="0"/>
              <w:rPr>
                <w:sz w:val="24"/>
                <w:szCs w:val="24"/>
                <w:color w:val="auto"/>
              </w:rPr>
            </w:pPr>
          </w:p>
        </w:tc>
        <w:tc>
          <w:tcPr>
            <w:tcW w:w="380" w:type="dxa"/>
            <w:vAlign w:val="bottom"/>
            <w:tcBorders>
              <w:bottom w:val="single" w:sz="8" w:color="EEEEEE"/>
            </w:tcBorders>
          </w:tcPr>
          <w:p>
            <w:pPr>
              <w:spacing w:after="0"/>
              <w:rPr>
                <w:sz w:val="24"/>
                <w:szCs w:val="24"/>
                <w:color w:val="auto"/>
              </w:rPr>
            </w:pPr>
          </w:p>
        </w:tc>
        <w:tc>
          <w:tcPr>
            <w:tcW w:w="80" w:type="dxa"/>
            <w:vAlign w:val="bottom"/>
            <w:tcBorders>
              <w:bottom w:val="single" w:sz="8" w:color="EEEEEE"/>
            </w:tcBorders>
          </w:tcPr>
          <w:p>
            <w:pPr>
              <w:spacing w:after="0"/>
              <w:rPr>
                <w:sz w:val="24"/>
                <w:szCs w:val="24"/>
                <w:color w:val="auto"/>
              </w:rPr>
            </w:pPr>
          </w:p>
        </w:tc>
        <w:tc>
          <w:tcPr>
            <w:tcW w:w="200" w:type="dxa"/>
            <w:vAlign w:val="bottom"/>
            <w:tcBorders>
              <w:bottom w:val="single" w:sz="8" w:color="EEEEEE"/>
            </w:tcBorders>
          </w:tcPr>
          <w:p>
            <w:pPr>
              <w:spacing w:after="0"/>
              <w:rPr>
                <w:sz w:val="24"/>
                <w:szCs w:val="24"/>
                <w:color w:val="auto"/>
              </w:rPr>
            </w:pPr>
          </w:p>
        </w:tc>
        <w:tc>
          <w:tcPr>
            <w:tcW w:w="200" w:type="dxa"/>
            <w:vAlign w:val="bottom"/>
            <w:tcBorders>
              <w:bottom w:val="single" w:sz="8" w:color="EEEEEE"/>
            </w:tcBorders>
          </w:tcPr>
          <w:p>
            <w:pPr>
              <w:spacing w:after="0"/>
              <w:rPr>
                <w:sz w:val="24"/>
                <w:szCs w:val="24"/>
                <w:color w:val="auto"/>
              </w:rPr>
            </w:pPr>
          </w:p>
        </w:tc>
        <w:tc>
          <w:tcPr>
            <w:tcW w:w="40" w:type="dxa"/>
            <w:vAlign w:val="bottom"/>
            <w:tcBorders>
              <w:bottom w:val="single" w:sz="8" w:color="EEEEEE"/>
            </w:tcBorders>
          </w:tcPr>
          <w:p>
            <w:pPr>
              <w:spacing w:after="0"/>
              <w:rPr>
                <w:sz w:val="24"/>
                <w:szCs w:val="24"/>
                <w:color w:val="auto"/>
              </w:rPr>
            </w:pPr>
          </w:p>
        </w:tc>
        <w:tc>
          <w:tcPr>
            <w:tcW w:w="520" w:type="dxa"/>
            <w:vAlign w:val="bottom"/>
            <w:tcBorders>
              <w:bottom w:val="single" w:sz="8" w:color="EEEEEE"/>
            </w:tcBorders>
          </w:tcPr>
          <w:p>
            <w:pPr>
              <w:spacing w:after="0"/>
              <w:rPr>
                <w:sz w:val="24"/>
                <w:szCs w:val="24"/>
                <w:color w:val="auto"/>
              </w:rPr>
            </w:pPr>
          </w:p>
        </w:tc>
        <w:tc>
          <w:tcPr>
            <w:tcW w:w="340" w:type="dxa"/>
            <w:vAlign w:val="bottom"/>
            <w:tcBorders>
              <w:bottom w:val="single" w:sz="8" w:color="EEEEEE"/>
            </w:tcBorders>
          </w:tcPr>
          <w:p>
            <w:pPr>
              <w:spacing w:after="0"/>
              <w:rPr>
                <w:sz w:val="24"/>
                <w:szCs w:val="24"/>
                <w:color w:val="auto"/>
              </w:rPr>
            </w:pPr>
          </w:p>
        </w:tc>
        <w:tc>
          <w:tcPr>
            <w:tcW w:w="140" w:type="dxa"/>
            <w:vAlign w:val="bottom"/>
            <w:tcBorders>
              <w:bottom w:val="single" w:sz="8" w:color="EEEEEE"/>
            </w:tcBorders>
          </w:tcPr>
          <w:p>
            <w:pPr>
              <w:spacing w:after="0"/>
              <w:rPr>
                <w:sz w:val="24"/>
                <w:szCs w:val="24"/>
                <w:color w:val="auto"/>
              </w:rPr>
            </w:pPr>
          </w:p>
        </w:tc>
        <w:tc>
          <w:tcPr>
            <w:tcW w:w="1000" w:type="dxa"/>
            <w:vAlign w:val="bottom"/>
            <w:tcBorders>
              <w:bottom w:val="single" w:sz="8" w:color="EEEEEE"/>
            </w:tcBorders>
          </w:tcPr>
          <w:p>
            <w:pPr>
              <w:spacing w:after="0"/>
              <w:rPr>
                <w:sz w:val="24"/>
                <w:szCs w:val="24"/>
                <w:color w:val="auto"/>
              </w:rPr>
            </w:pPr>
          </w:p>
        </w:tc>
        <w:tc>
          <w:tcPr>
            <w:tcW w:w="520" w:type="dxa"/>
            <w:vAlign w:val="bottom"/>
            <w:tcBorders>
              <w:bottom w:val="single" w:sz="8" w:color="EEEEEE"/>
            </w:tcBorders>
          </w:tcPr>
          <w:p>
            <w:pPr>
              <w:spacing w:after="0"/>
              <w:rPr>
                <w:sz w:val="24"/>
                <w:szCs w:val="24"/>
                <w:color w:val="auto"/>
              </w:rPr>
            </w:pPr>
          </w:p>
        </w:tc>
        <w:tc>
          <w:tcPr>
            <w:tcW w:w="80" w:type="dxa"/>
            <w:vAlign w:val="bottom"/>
            <w:tcBorders>
              <w:bottom w:val="single" w:sz="8" w:color="EEEEEE"/>
            </w:tcBorders>
          </w:tcPr>
          <w:p>
            <w:pPr>
              <w:spacing w:after="0"/>
              <w:rPr>
                <w:sz w:val="24"/>
                <w:szCs w:val="24"/>
                <w:color w:val="auto"/>
              </w:rPr>
            </w:pPr>
          </w:p>
        </w:tc>
        <w:tc>
          <w:tcPr>
            <w:tcW w:w="680" w:type="dxa"/>
            <w:vAlign w:val="bottom"/>
            <w:tcBorders>
              <w:bottom w:val="single" w:sz="8" w:color="EEEEEE"/>
            </w:tcBorders>
          </w:tcPr>
          <w:p>
            <w:pPr>
              <w:spacing w:after="0"/>
              <w:rPr>
                <w:sz w:val="24"/>
                <w:szCs w:val="24"/>
                <w:color w:val="auto"/>
              </w:rPr>
            </w:pPr>
          </w:p>
        </w:tc>
        <w:tc>
          <w:tcPr>
            <w:tcW w:w="120" w:type="dxa"/>
            <w:vAlign w:val="bottom"/>
            <w:tcBorders>
              <w:bottom w:val="single" w:sz="8" w:color="EEEEEE"/>
            </w:tcBorders>
          </w:tcPr>
          <w:p>
            <w:pPr>
              <w:spacing w:after="0"/>
              <w:rPr>
                <w:sz w:val="24"/>
                <w:szCs w:val="24"/>
                <w:color w:val="auto"/>
              </w:rPr>
            </w:pPr>
          </w:p>
        </w:tc>
        <w:tc>
          <w:tcPr>
            <w:tcW w:w="540" w:type="dxa"/>
            <w:vAlign w:val="bottom"/>
            <w:tcBorders>
              <w:bottom w:val="single" w:sz="8" w:color="EEEEEE"/>
            </w:tcBorders>
          </w:tcPr>
          <w:p>
            <w:pPr>
              <w:spacing w:after="0"/>
              <w:rPr>
                <w:sz w:val="24"/>
                <w:szCs w:val="24"/>
                <w:color w:val="auto"/>
              </w:rPr>
            </w:pPr>
          </w:p>
        </w:tc>
        <w:tc>
          <w:tcPr>
            <w:tcW w:w="760" w:type="dxa"/>
            <w:vAlign w:val="bottom"/>
            <w:tcBorders>
              <w:bottom w:val="single" w:sz="8" w:color="EEEEEE"/>
            </w:tcBorders>
          </w:tcPr>
          <w:p>
            <w:pPr>
              <w:spacing w:after="0"/>
              <w:rPr>
                <w:sz w:val="24"/>
                <w:szCs w:val="24"/>
                <w:color w:val="auto"/>
              </w:rPr>
            </w:pPr>
          </w:p>
        </w:tc>
        <w:tc>
          <w:tcPr>
            <w:tcW w:w="640" w:type="dxa"/>
            <w:vAlign w:val="bottom"/>
            <w:tcBorders>
              <w:bottom w:val="single" w:sz="8" w:color="EEEEEE"/>
            </w:tcBorders>
          </w:tcPr>
          <w:p>
            <w:pPr>
              <w:spacing w:after="0"/>
              <w:rPr>
                <w:sz w:val="24"/>
                <w:szCs w:val="24"/>
                <w:color w:val="auto"/>
              </w:rPr>
            </w:pPr>
          </w:p>
        </w:tc>
        <w:tc>
          <w:tcPr>
            <w:tcW w:w="60" w:type="dxa"/>
            <w:vAlign w:val="bottom"/>
            <w:tcBorders>
              <w:bottom w:val="single" w:sz="8" w:color="EEEEEE"/>
            </w:tcBorders>
          </w:tcPr>
          <w:p>
            <w:pPr>
              <w:spacing w:after="0"/>
              <w:rPr>
                <w:sz w:val="24"/>
                <w:szCs w:val="24"/>
                <w:color w:val="auto"/>
              </w:rPr>
            </w:pPr>
          </w:p>
        </w:tc>
        <w:tc>
          <w:tcPr>
            <w:tcW w:w="420" w:type="dxa"/>
            <w:vAlign w:val="bottom"/>
            <w:tcBorders>
              <w:bottom w:val="single" w:sz="8" w:color="EEEEEE"/>
            </w:tcBorders>
          </w:tcPr>
          <w:p>
            <w:pPr>
              <w:spacing w:after="0"/>
              <w:rPr>
                <w:sz w:val="24"/>
                <w:szCs w:val="24"/>
                <w:color w:val="auto"/>
              </w:rPr>
            </w:pPr>
          </w:p>
        </w:tc>
        <w:tc>
          <w:tcPr>
            <w:tcW w:w="260" w:type="dxa"/>
            <w:vAlign w:val="bottom"/>
            <w:tcBorders>
              <w:bottom w:val="single" w:sz="8" w:color="EEEEEE"/>
            </w:tcBorders>
          </w:tcPr>
          <w:p>
            <w:pPr>
              <w:spacing w:after="0"/>
              <w:rPr>
                <w:sz w:val="24"/>
                <w:szCs w:val="24"/>
                <w:color w:val="auto"/>
              </w:rPr>
            </w:pPr>
          </w:p>
        </w:tc>
        <w:tc>
          <w:tcPr>
            <w:tcW w:w="1340" w:type="dxa"/>
            <w:vAlign w:val="bottom"/>
            <w:tcBorders>
              <w:bottom w:val="single" w:sz="8" w:color="EEEEEE"/>
            </w:tcBorders>
          </w:tcPr>
          <w:p>
            <w:pPr>
              <w:spacing w:after="0"/>
              <w:rPr>
                <w:sz w:val="24"/>
                <w:szCs w:val="24"/>
                <w:color w:val="auto"/>
              </w:rPr>
            </w:pPr>
          </w:p>
        </w:tc>
        <w:tc>
          <w:tcPr>
            <w:tcW w:w="80" w:type="dxa"/>
            <w:vAlign w:val="bottom"/>
            <w:tcBorders>
              <w:top w:val="single" w:sz="8" w:color="0000FF"/>
              <w:bottom w:val="single" w:sz="8" w:color="EEEEEE"/>
            </w:tcBorders>
          </w:tcPr>
          <w:p>
            <w:pPr>
              <w:spacing w:after="0"/>
              <w:rPr>
                <w:sz w:val="24"/>
                <w:szCs w:val="24"/>
                <w:color w:val="auto"/>
              </w:rPr>
            </w:pPr>
          </w:p>
        </w:tc>
        <w:tc>
          <w:tcPr>
            <w:tcW w:w="80" w:type="dxa"/>
            <w:vAlign w:val="bottom"/>
            <w:tcBorders>
              <w:top w:val="single" w:sz="8" w:color="0000FF"/>
              <w:bottom w:val="single" w:sz="8" w:color="EEEEEE"/>
            </w:tcBorders>
          </w:tcPr>
          <w:p>
            <w:pPr>
              <w:spacing w:after="0"/>
              <w:rPr>
                <w:sz w:val="24"/>
                <w:szCs w:val="24"/>
                <w:color w:val="auto"/>
              </w:rPr>
            </w:pPr>
          </w:p>
        </w:tc>
        <w:tc>
          <w:tcPr>
            <w:tcW w:w="20" w:type="dxa"/>
            <w:vAlign w:val="bottom"/>
            <w:tcBorders>
              <w:bottom w:val="single" w:sz="8" w:color="EEEEEE"/>
            </w:tcBorders>
          </w:tcPr>
          <w:p>
            <w:pPr>
              <w:spacing w:after="0"/>
              <w:rPr>
                <w:sz w:val="24"/>
                <w:szCs w:val="24"/>
                <w:color w:val="auto"/>
              </w:rPr>
            </w:pPr>
          </w:p>
        </w:tc>
        <w:tc>
          <w:tcPr>
            <w:tcW w:w="20" w:type="dxa"/>
            <w:vAlign w:val="bottom"/>
            <w:tcBorders>
              <w:bottom w:val="single" w:sz="8" w:color="EEEEEE"/>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-26670</wp:posOffset>
            </wp:positionV>
            <wp:extent cx="6736080" cy="400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3" w:name="page4"/>
    <w:bookmarkEnd w:id="3"/>
    <w:tbl>
      <w:tblPr>
        <w:tblLayout w:type="fixed"/>
        <w:tblInd w:w="0" w:type="dxa"/>
        <w:tblCellMar>
          <w:top w:w="0" w:type="dxa"/>
          <w:left w:w="0" w:type="dxa"/>
          <w:bottom w:w="0" w:type="dxa"/>
          <w:right w:w="0" w:type="dxa"/>
        </w:tblCellMar>
      </w:tblPr>
      <w:tr>
        <w:trPr>
          <w:trHeight w:val="212"/>
        </w:trPr>
        <w:tc>
          <w:tcPr>
            <w:tcW w:w="1080" w:type="dxa"/>
            <w:vAlign w:val="bottom"/>
          </w:tcPr>
          <w:p>
            <w:pPr>
              <w:spacing w:after="0"/>
              <w:rPr>
                <w:sz w:val="18"/>
                <w:szCs w:val="18"/>
                <w:color w:val="auto"/>
              </w:rPr>
            </w:pPr>
          </w:p>
        </w:tc>
        <w:tc>
          <w:tcPr>
            <w:tcW w:w="7040" w:type="dxa"/>
            <w:vAlign w:val="bottom"/>
          </w:tcPr>
          <w:p>
            <w:pPr>
              <w:jc w:val="center"/>
              <w:ind w:left="1284"/>
              <w:spacing w:after="0"/>
              <w:rPr>
                <w:sz w:val="20"/>
                <w:szCs w:val="20"/>
                <w:color w:val="auto"/>
              </w:rPr>
            </w:pPr>
            <w:r>
              <w:rPr>
                <w:rFonts w:ascii="Arial" w:cs="Arial" w:eastAsia="Arial" w:hAnsi="Arial"/>
                <w:sz w:val="15"/>
                <w:szCs w:val="15"/>
                <w:b w:val="1"/>
                <w:bCs w:val="1"/>
                <w:color w:val="auto"/>
              </w:rPr>
              <w:t>PART I. FINANCIAL INFORMATION</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1080" w:type="dxa"/>
            <w:vAlign w:val="bottom"/>
          </w:tcPr>
          <w:p>
            <w:pPr>
              <w:spacing w:after="0"/>
              <w:rPr>
                <w:sz w:val="20"/>
                <w:szCs w:val="20"/>
                <w:color w:val="auto"/>
              </w:rPr>
            </w:pPr>
            <w:r>
              <w:rPr>
                <w:rFonts w:ascii="Arial" w:cs="Arial" w:eastAsia="Arial" w:hAnsi="Arial"/>
                <w:sz w:val="15"/>
                <w:szCs w:val="15"/>
                <w:b w:val="1"/>
                <w:bCs w:val="1"/>
                <w:color w:val="auto"/>
              </w:rPr>
              <w:t>ITEM 1.</w:t>
            </w:r>
          </w:p>
        </w:tc>
        <w:tc>
          <w:tcPr>
            <w:tcW w:w="7040" w:type="dxa"/>
            <w:vAlign w:val="bottom"/>
          </w:tcPr>
          <w:p>
            <w:pPr>
              <w:ind w:left="20"/>
              <w:spacing w:after="0"/>
              <w:rPr>
                <w:sz w:val="20"/>
                <w:szCs w:val="20"/>
                <w:color w:val="auto"/>
              </w:rPr>
            </w:pPr>
            <w:r>
              <w:rPr>
                <w:rFonts w:ascii="Arial" w:cs="Arial" w:eastAsia="Arial" w:hAnsi="Arial"/>
                <w:sz w:val="15"/>
                <w:szCs w:val="15"/>
                <w:b w:val="1"/>
                <w:bCs w:val="1"/>
                <w:color w:val="auto"/>
              </w:rPr>
              <w:t>FINANCIAL STATEMENTS</w:t>
            </w:r>
          </w:p>
        </w:tc>
        <w:tc>
          <w:tcPr>
            <w:tcW w:w="7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2"/>
        </w:trPr>
        <w:tc>
          <w:tcPr>
            <w:tcW w:w="1080" w:type="dxa"/>
            <w:vAlign w:val="bottom"/>
          </w:tcPr>
          <w:p>
            <w:pPr>
              <w:spacing w:after="0"/>
              <w:rPr>
                <w:sz w:val="24"/>
                <w:szCs w:val="24"/>
                <w:color w:val="auto"/>
              </w:rPr>
            </w:pPr>
          </w:p>
        </w:tc>
        <w:tc>
          <w:tcPr>
            <w:tcW w:w="7040" w:type="dxa"/>
            <w:vAlign w:val="bottom"/>
          </w:tcPr>
          <w:p>
            <w:pPr>
              <w:jc w:val="center"/>
              <w:ind w:left="1284"/>
              <w:spacing w:after="0"/>
              <w:rPr>
                <w:sz w:val="20"/>
                <w:szCs w:val="20"/>
                <w:color w:val="auto"/>
              </w:rPr>
            </w:pPr>
            <w:r>
              <w:rPr>
                <w:rFonts w:ascii="Arial" w:cs="Arial" w:eastAsia="Arial" w:hAnsi="Arial"/>
                <w:sz w:val="15"/>
                <w:szCs w:val="15"/>
                <w:b w:val="1"/>
                <w:bCs w:val="1"/>
                <w:color w:val="auto"/>
              </w:rPr>
              <w:t>AUTODESK, INC.</w:t>
            </w:r>
          </w:p>
        </w:tc>
        <w:tc>
          <w:tcPr>
            <w:tcW w:w="7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4"/>
        </w:trPr>
        <w:tc>
          <w:tcPr>
            <w:tcW w:w="1080" w:type="dxa"/>
            <w:vAlign w:val="bottom"/>
          </w:tcPr>
          <w:p>
            <w:pPr>
              <w:spacing w:after="0"/>
              <w:rPr>
                <w:sz w:val="15"/>
                <w:szCs w:val="15"/>
                <w:color w:val="auto"/>
              </w:rPr>
            </w:pPr>
          </w:p>
        </w:tc>
        <w:tc>
          <w:tcPr>
            <w:tcW w:w="7040" w:type="dxa"/>
            <w:vAlign w:val="bottom"/>
          </w:tcPr>
          <w:p>
            <w:pPr>
              <w:jc w:val="center"/>
              <w:ind w:left="1284"/>
              <w:spacing w:after="0"/>
              <w:rPr>
                <w:sz w:val="20"/>
                <w:szCs w:val="20"/>
                <w:color w:val="auto"/>
              </w:rPr>
            </w:pPr>
            <w:r>
              <w:rPr>
                <w:rFonts w:ascii="Arial" w:cs="Arial" w:eastAsia="Arial" w:hAnsi="Arial"/>
                <w:sz w:val="15"/>
                <w:szCs w:val="15"/>
                <w:b w:val="1"/>
                <w:bCs w:val="1"/>
                <w:color w:val="auto"/>
              </w:rPr>
              <w:t>CONDENSED CONSOLIDATED STATEMENTS OF OPERATIONS</w:t>
            </w:r>
          </w:p>
        </w:tc>
        <w:tc>
          <w:tcPr>
            <w:tcW w:w="74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1080" w:type="dxa"/>
            <w:vAlign w:val="bottom"/>
          </w:tcPr>
          <w:p>
            <w:pPr>
              <w:spacing w:after="0"/>
              <w:rPr>
                <w:sz w:val="15"/>
                <w:szCs w:val="15"/>
                <w:color w:val="auto"/>
              </w:rPr>
            </w:pPr>
          </w:p>
        </w:tc>
        <w:tc>
          <w:tcPr>
            <w:tcW w:w="7040" w:type="dxa"/>
            <w:vAlign w:val="bottom"/>
          </w:tcPr>
          <w:p>
            <w:pPr>
              <w:jc w:val="center"/>
              <w:ind w:left="1284"/>
              <w:spacing w:after="0"/>
              <w:rPr>
                <w:sz w:val="20"/>
                <w:szCs w:val="20"/>
                <w:color w:val="auto"/>
              </w:rPr>
            </w:pPr>
            <w:r>
              <w:rPr>
                <w:rFonts w:ascii="Arial" w:cs="Arial" w:eastAsia="Arial" w:hAnsi="Arial"/>
                <w:sz w:val="15"/>
                <w:szCs w:val="15"/>
                <w:color w:val="auto"/>
              </w:rPr>
              <w:t>(In millions, except per share data)</w:t>
            </w:r>
          </w:p>
        </w:tc>
        <w:tc>
          <w:tcPr>
            <w:tcW w:w="74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2"/>
        </w:trPr>
        <w:tc>
          <w:tcPr>
            <w:tcW w:w="1080" w:type="dxa"/>
            <w:vAlign w:val="bottom"/>
          </w:tcPr>
          <w:p>
            <w:pPr>
              <w:spacing w:after="0"/>
              <w:rPr>
                <w:sz w:val="16"/>
                <w:szCs w:val="16"/>
                <w:color w:val="auto"/>
              </w:rPr>
            </w:pPr>
          </w:p>
        </w:tc>
        <w:tc>
          <w:tcPr>
            <w:tcW w:w="7040" w:type="dxa"/>
            <w:vAlign w:val="bottom"/>
          </w:tcPr>
          <w:p>
            <w:pPr>
              <w:jc w:val="center"/>
              <w:ind w:left="1284"/>
              <w:spacing w:after="0"/>
              <w:rPr>
                <w:sz w:val="20"/>
                <w:szCs w:val="20"/>
                <w:color w:val="auto"/>
              </w:rPr>
            </w:pPr>
            <w:r>
              <w:rPr>
                <w:rFonts w:ascii="Arial" w:cs="Arial" w:eastAsia="Arial" w:hAnsi="Arial"/>
                <w:sz w:val="15"/>
                <w:szCs w:val="15"/>
                <w:color w:val="auto"/>
              </w:rPr>
              <w:t>(Unaudited)</w:t>
            </w:r>
          </w:p>
        </w:tc>
        <w:tc>
          <w:tcPr>
            <w:tcW w:w="74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25"/>
        </w:trPr>
        <w:tc>
          <w:tcPr>
            <w:tcW w:w="1080" w:type="dxa"/>
            <w:vAlign w:val="bottom"/>
          </w:tcPr>
          <w:p>
            <w:pPr>
              <w:spacing w:after="0"/>
              <w:rPr>
                <w:sz w:val="24"/>
                <w:szCs w:val="24"/>
                <w:color w:val="auto"/>
              </w:rPr>
            </w:pPr>
          </w:p>
        </w:tc>
        <w:tc>
          <w:tcPr>
            <w:tcW w:w="7040" w:type="dxa"/>
            <w:vAlign w:val="bottom"/>
          </w:tcPr>
          <w:p>
            <w:pPr>
              <w:spacing w:after="0"/>
              <w:rPr>
                <w:sz w:val="24"/>
                <w:szCs w:val="24"/>
                <w:color w:val="auto"/>
              </w:rPr>
            </w:pPr>
          </w:p>
        </w:tc>
        <w:tc>
          <w:tcPr>
            <w:tcW w:w="2460" w:type="dxa"/>
            <w:vAlign w:val="bottom"/>
            <w:tcBorders>
              <w:bottom w:val="single" w:sz="8" w:color="auto"/>
            </w:tcBorders>
            <w:gridSpan w:val="5"/>
          </w:tcPr>
          <w:p>
            <w:pPr>
              <w:jc w:val="right"/>
              <w:ind w:right="270"/>
              <w:spacing w:after="0"/>
              <w:rPr>
                <w:sz w:val="20"/>
                <w:szCs w:val="20"/>
                <w:color w:val="auto"/>
              </w:rPr>
            </w:pPr>
            <w:r>
              <w:rPr>
                <w:rFonts w:ascii="Arial" w:cs="Arial" w:eastAsia="Arial" w:hAnsi="Arial"/>
                <w:sz w:val="13"/>
                <w:szCs w:val="13"/>
                <w:b w:val="1"/>
                <w:bCs w:val="1"/>
                <w:color w:val="auto"/>
              </w:rPr>
              <w:t>Three Months Ended April 30,</w:t>
            </w:r>
          </w:p>
        </w:tc>
        <w:tc>
          <w:tcPr>
            <w:tcW w:w="0" w:type="dxa"/>
            <w:vAlign w:val="bottom"/>
          </w:tcPr>
          <w:p>
            <w:pPr>
              <w:spacing w:after="0"/>
              <w:rPr>
                <w:sz w:val="1"/>
                <w:szCs w:val="1"/>
                <w:color w:val="auto"/>
              </w:rPr>
            </w:pPr>
          </w:p>
        </w:tc>
      </w:tr>
      <w:tr>
        <w:trPr>
          <w:trHeight w:val="167"/>
        </w:trPr>
        <w:tc>
          <w:tcPr>
            <w:tcW w:w="1080" w:type="dxa"/>
            <w:vAlign w:val="bottom"/>
            <w:tcBorders>
              <w:bottom w:val="single" w:sz="8" w:color="CCEEFF"/>
            </w:tcBorders>
          </w:tcPr>
          <w:p>
            <w:pPr>
              <w:spacing w:after="0"/>
              <w:rPr>
                <w:sz w:val="14"/>
                <w:szCs w:val="14"/>
                <w:color w:val="auto"/>
              </w:rPr>
            </w:pPr>
          </w:p>
        </w:tc>
        <w:tc>
          <w:tcPr>
            <w:tcW w:w="7040" w:type="dxa"/>
            <w:vAlign w:val="bottom"/>
            <w:tcBorders>
              <w:bottom w:val="single" w:sz="8" w:color="CCEEFF"/>
            </w:tcBorders>
          </w:tcPr>
          <w:p>
            <w:pPr>
              <w:spacing w:after="0"/>
              <w:rPr>
                <w:sz w:val="14"/>
                <w:szCs w:val="14"/>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2023</w:t>
            </w:r>
          </w:p>
        </w:tc>
        <w:tc>
          <w:tcPr>
            <w:tcW w:w="440" w:type="dxa"/>
            <w:vAlign w:val="bottom"/>
            <w:tcBorders>
              <w:bottom w:val="single" w:sz="8" w:color="auto"/>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920" w:type="dxa"/>
            <w:vAlign w:val="bottom"/>
            <w:tcBorders>
              <w:bottom w:val="single" w:sz="8" w:color="auto"/>
            </w:tcBorders>
          </w:tcPr>
          <w:p>
            <w:pPr>
              <w:jc w:val="right"/>
              <w:ind w:right="390"/>
              <w:spacing w:after="0"/>
              <w:rPr>
                <w:sz w:val="20"/>
                <w:szCs w:val="20"/>
                <w:color w:val="auto"/>
              </w:rPr>
            </w:pPr>
            <w:r>
              <w:rPr>
                <w:rFonts w:ascii="Arial" w:cs="Arial" w:eastAsia="Arial" w:hAnsi="Arial"/>
                <w:sz w:val="13"/>
                <w:szCs w:val="13"/>
                <w:b w:val="1"/>
                <w:bCs w:val="1"/>
                <w:color w:val="auto"/>
              </w:rPr>
              <w:t>2022</w:t>
            </w:r>
          </w:p>
        </w:tc>
        <w:tc>
          <w:tcPr>
            <w:tcW w:w="0" w:type="dxa"/>
            <w:vAlign w:val="bottom"/>
          </w:tcPr>
          <w:p>
            <w:pPr>
              <w:spacing w:after="0"/>
              <w:rPr>
                <w:sz w:val="1"/>
                <w:szCs w:val="1"/>
                <w:color w:val="auto"/>
              </w:rPr>
            </w:pPr>
          </w:p>
        </w:tc>
      </w:tr>
      <w:tr>
        <w:trPr>
          <w:trHeight w:val="167"/>
        </w:trPr>
        <w:tc>
          <w:tcPr>
            <w:tcW w:w="1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revenue:</w:t>
            </w:r>
          </w:p>
        </w:tc>
        <w:tc>
          <w:tcPr>
            <w:tcW w:w="7040" w:type="dxa"/>
            <w:vAlign w:val="bottom"/>
            <w:shd w:val="clear" w:color="auto" w:fill="CCEEFF"/>
          </w:tcPr>
          <w:p>
            <w:pPr>
              <w:spacing w:after="0"/>
              <w:rPr>
                <w:sz w:val="14"/>
                <w:szCs w:val="14"/>
                <w:color w:val="auto"/>
              </w:rPr>
            </w:pPr>
          </w:p>
        </w:tc>
        <w:tc>
          <w:tcPr>
            <w:tcW w:w="740" w:type="dxa"/>
            <w:vAlign w:val="bottom"/>
            <w:shd w:val="clear" w:color="auto" w:fill="CCEEFF"/>
          </w:tcPr>
          <w:p>
            <w:pPr>
              <w:spacing w:after="0"/>
              <w:rPr>
                <w:sz w:val="14"/>
                <w:szCs w:val="14"/>
                <w:color w:val="auto"/>
              </w:rPr>
            </w:pPr>
          </w:p>
        </w:tc>
        <w:tc>
          <w:tcPr>
            <w:tcW w:w="44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92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1080" w:type="dxa"/>
            <w:vAlign w:val="bottom"/>
          </w:tcPr>
          <w:p>
            <w:pPr>
              <w:ind w:left="300"/>
              <w:spacing w:after="0"/>
              <w:rPr>
                <w:sz w:val="20"/>
                <w:szCs w:val="20"/>
                <w:color w:val="auto"/>
              </w:rPr>
            </w:pPr>
            <w:r>
              <w:rPr>
                <w:rFonts w:ascii="Arial" w:cs="Arial" w:eastAsia="Arial" w:hAnsi="Arial"/>
                <w:sz w:val="14"/>
                <w:szCs w:val="14"/>
                <w:color w:val="auto"/>
                <w:w w:val="98"/>
              </w:rPr>
              <w:t>Subscription</w:t>
            </w:r>
          </w:p>
        </w:tc>
        <w:tc>
          <w:tcPr>
            <w:tcW w:w="7040" w:type="dxa"/>
            <w:vAlign w:val="bottom"/>
          </w:tcPr>
          <w:p>
            <w:pPr>
              <w:spacing w:after="0"/>
              <w:rPr>
                <w:sz w:val="16"/>
                <w:szCs w:val="16"/>
                <w:color w:val="auto"/>
              </w:rPr>
            </w:pPr>
          </w:p>
        </w:tc>
        <w:tc>
          <w:tcPr>
            <w:tcW w:w="740" w:type="dxa"/>
            <w:vAlign w:val="bottom"/>
          </w:tcPr>
          <w:p>
            <w:pPr>
              <w:jc w:val="right"/>
              <w:ind w:right="592"/>
              <w:spacing w:after="0"/>
              <w:rPr>
                <w:sz w:val="20"/>
                <w:szCs w:val="20"/>
                <w:color w:val="auto"/>
              </w:rPr>
            </w:pPr>
            <w:r>
              <w:rPr>
                <w:rFonts w:ascii="Arial" w:cs="Arial" w:eastAsia="Arial" w:hAnsi="Arial"/>
                <w:sz w:val="14"/>
                <w:szCs w:val="14"/>
                <w:color w:val="auto"/>
                <w:w w:val="76"/>
              </w:rPr>
              <w:t>$</w:t>
            </w:r>
          </w:p>
        </w:tc>
        <w:tc>
          <w:tcPr>
            <w:tcW w:w="440" w:type="dxa"/>
            <w:vAlign w:val="bottom"/>
          </w:tcPr>
          <w:p>
            <w:pPr>
              <w:jc w:val="right"/>
              <w:spacing w:after="0"/>
              <w:rPr>
                <w:sz w:val="20"/>
                <w:szCs w:val="20"/>
                <w:color w:val="auto"/>
              </w:rPr>
            </w:pPr>
            <w:r>
              <w:rPr>
                <w:rFonts w:ascii="Arial" w:cs="Arial" w:eastAsia="Arial" w:hAnsi="Arial"/>
                <w:sz w:val="14"/>
                <w:szCs w:val="14"/>
                <w:color w:val="auto"/>
              </w:rPr>
              <w:t>1,193</w:t>
            </w:r>
          </w:p>
        </w:tc>
        <w:tc>
          <w:tcPr>
            <w:tcW w:w="360" w:type="dxa"/>
            <w:vAlign w:val="bottom"/>
            <w:gridSpan w:val="2"/>
          </w:tcPr>
          <w:p>
            <w:pPr>
              <w:jc w:val="right"/>
              <w:ind w:right="110"/>
              <w:spacing w:after="0"/>
              <w:rPr>
                <w:sz w:val="20"/>
                <w:szCs w:val="20"/>
                <w:color w:val="auto"/>
              </w:rPr>
            </w:pPr>
            <w:r>
              <w:rPr>
                <w:rFonts w:ascii="Arial" w:cs="Arial" w:eastAsia="Arial" w:hAnsi="Arial"/>
                <w:sz w:val="14"/>
                <w:szCs w:val="14"/>
                <w:color w:val="auto"/>
              </w:rPr>
              <w:t>$</w:t>
            </w:r>
          </w:p>
        </w:tc>
        <w:tc>
          <w:tcPr>
            <w:tcW w:w="920" w:type="dxa"/>
            <w:vAlign w:val="bottom"/>
          </w:tcPr>
          <w:p>
            <w:pPr>
              <w:jc w:val="right"/>
              <w:spacing w:after="0"/>
              <w:rPr>
                <w:sz w:val="20"/>
                <w:szCs w:val="20"/>
                <w:color w:val="auto"/>
              </w:rPr>
            </w:pPr>
            <w:r>
              <w:rPr>
                <w:rFonts w:ascii="Arial" w:cs="Arial" w:eastAsia="Arial" w:hAnsi="Arial"/>
                <w:sz w:val="14"/>
                <w:szCs w:val="14"/>
                <w:color w:val="auto"/>
              </w:rPr>
              <w:t>1,089</w:t>
            </w:r>
          </w:p>
        </w:tc>
        <w:tc>
          <w:tcPr>
            <w:tcW w:w="0" w:type="dxa"/>
            <w:vAlign w:val="bottom"/>
          </w:tcPr>
          <w:p>
            <w:pPr>
              <w:spacing w:after="0"/>
              <w:rPr>
                <w:sz w:val="1"/>
                <w:szCs w:val="1"/>
                <w:color w:val="auto"/>
              </w:rPr>
            </w:pPr>
          </w:p>
        </w:tc>
      </w:tr>
      <w:tr>
        <w:trPr>
          <w:trHeight w:val="190"/>
        </w:trPr>
        <w:tc>
          <w:tcPr>
            <w:tcW w:w="8120" w:type="dxa"/>
            <w:vAlign w:val="bottom"/>
            <w:gridSpan w:val="2"/>
            <w:shd w:val="clear" w:color="auto" w:fill="CCEEFF"/>
          </w:tcPr>
          <w:p>
            <w:pPr>
              <w:ind w:left="300"/>
              <w:spacing w:after="0"/>
              <w:rPr>
                <w:sz w:val="20"/>
                <w:szCs w:val="20"/>
                <w:color w:val="auto"/>
              </w:rPr>
            </w:pPr>
            <w:r>
              <w:rPr>
                <w:rFonts w:ascii="Arial" w:cs="Arial" w:eastAsia="Arial" w:hAnsi="Arial"/>
                <w:sz w:val="14"/>
                <w:szCs w:val="14"/>
                <w:color w:val="auto"/>
              </w:rPr>
              <w:t>Maintenance</w:t>
            </w:r>
          </w:p>
        </w:tc>
        <w:tc>
          <w:tcPr>
            <w:tcW w:w="740" w:type="dxa"/>
            <w:vAlign w:val="bottom"/>
            <w:tcBorders>
              <w:bottom w:val="single" w:sz="8" w:color="auto"/>
            </w:tcBorders>
            <w:shd w:val="clear" w:color="auto" w:fill="CCEEFF"/>
          </w:tcPr>
          <w:p>
            <w:pPr>
              <w:spacing w:after="0"/>
              <w:rPr>
                <w:sz w:val="16"/>
                <w:szCs w:val="16"/>
                <w:color w:val="auto"/>
              </w:rPr>
            </w:pPr>
          </w:p>
        </w:tc>
        <w:tc>
          <w:tcPr>
            <w:tcW w:w="44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14</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2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18</w:t>
            </w:r>
          </w:p>
        </w:tc>
        <w:tc>
          <w:tcPr>
            <w:tcW w:w="0" w:type="dxa"/>
            <w:vAlign w:val="bottom"/>
          </w:tcPr>
          <w:p>
            <w:pPr>
              <w:spacing w:after="0"/>
              <w:rPr>
                <w:sz w:val="1"/>
                <w:szCs w:val="1"/>
                <w:color w:val="auto"/>
              </w:rPr>
            </w:pPr>
          </w:p>
        </w:tc>
      </w:tr>
      <w:tr>
        <w:trPr>
          <w:trHeight w:val="177"/>
        </w:trPr>
        <w:tc>
          <w:tcPr>
            <w:tcW w:w="8120" w:type="dxa"/>
            <w:vAlign w:val="bottom"/>
            <w:gridSpan w:val="2"/>
          </w:tcPr>
          <w:p>
            <w:pPr>
              <w:ind w:left="440"/>
              <w:spacing w:after="0"/>
              <w:rPr>
                <w:sz w:val="20"/>
                <w:szCs w:val="20"/>
                <w:color w:val="auto"/>
              </w:rPr>
            </w:pPr>
            <w:r>
              <w:rPr>
                <w:rFonts w:ascii="Arial" w:cs="Arial" w:eastAsia="Arial" w:hAnsi="Arial"/>
                <w:sz w:val="14"/>
                <w:szCs w:val="14"/>
                <w:color w:val="auto"/>
              </w:rPr>
              <w:t>Total subscription and maintenance revenue</w:t>
            </w:r>
          </w:p>
        </w:tc>
        <w:tc>
          <w:tcPr>
            <w:tcW w:w="740" w:type="dxa"/>
            <w:vAlign w:val="bottom"/>
          </w:tcPr>
          <w:p>
            <w:pPr>
              <w:spacing w:after="0"/>
              <w:rPr>
                <w:sz w:val="15"/>
                <w:szCs w:val="15"/>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1,207</w:t>
            </w: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920" w:type="dxa"/>
            <w:vAlign w:val="bottom"/>
          </w:tcPr>
          <w:p>
            <w:pPr>
              <w:jc w:val="right"/>
              <w:spacing w:after="0"/>
              <w:rPr>
                <w:sz w:val="20"/>
                <w:szCs w:val="20"/>
                <w:color w:val="auto"/>
              </w:rPr>
            </w:pPr>
            <w:r>
              <w:rPr>
                <w:rFonts w:ascii="Arial" w:cs="Arial" w:eastAsia="Arial" w:hAnsi="Arial"/>
                <w:sz w:val="14"/>
                <w:szCs w:val="14"/>
                <w:color w:val="auto"/>
              </w:rPr>
              <w:t>1,107</w:t>
            </w:r>
          </w:p>
        </w:tc>
        <w:tc>
          <w:tcPr>
            <w:tcW w:w="0" w:type="dxa"/>
            <w:vAlign w:val="bottom"/>
          </w:tcPr>
          <w:p>
            <w:pPr>
              <w:spacing w:after="0"/>
              <w:rPr>
                <w:sz w:val="1"/>
                <w:szCs w:val="1"/>
                <w:color w:val="auto"/>
              </w:rPr>
            </w:pPr>
          </w:p>
        </w:tc>
      </w:tr>
      <w:tr>
        <w:trPr>
          <w:trHeight w:val="190"/>
        </w:trPr>
        <w:tc>
          <w:tcPr>
            <w:tcW w:w="1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Other</w:t>
            </w:r>
          </w:p>
        </w:tc>
        <w:tc>
          <w:tcPr>
            <w:tcW w:w="7040" w:type="dxa"/>
            <w:vAlign w:val="bottom"/>
            <w:shd w:val="clear" w:color="auto" w:fill="CCEEFF"/>
          </w:tcPr>
          <w:p>
            <w:pPr>
              <w:spacing w:after="0"/>
              <w:rPr>
                <w:sz w:val="16"/>
                <w:szCs w:val="16"/>
                <w:color w:val="auto"/>
              </w:rPr>
            </w:pPr>
          </w:p>
        </w:tc>
        <w:tc>
          <w:tcPr>
            <w:tcW w:w="740" w:type="dxa"/>
            <w:vAlign w:val="bottom"/>
            <w:tcBorders>
              <w:bottom w:val="single" w:sz="8" w:color="auto"/>
            </w:tcBorders>
            <w:shd w:val="clear" w:color="auto" w:fill="CCEEFF"/>
          </w:tcPr>
          <w:p>
            <w:pPr>
              <w:spacing w:after="0"/>
              <w:rPr>
                <w:sz w:val="16"/>
                <w:szCs w:val="16"/>
                <w:color w:val="auto"/>
              </w:rPr>
            </w:pPr>
          </w:p>
        </w:tc>
        <w:tc>
          <w:tcPr>
            <w:tcW w:w="44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62</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2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63</w:t>
            </w:r>
          </w:p>
        </w:tc>
        <w:tc>
          <w:tcPr>
            <w:tcW w:w="0" w:type="dxa"/>
            <w:vAlign w:val="bottom"/>
          </w:tcPr>
          <w:p>
            <w:pPr>
              <w:spacing w:after="0"/>
              <w:rPr>
                <w:sz w:val="1"/>
                <w:szCs w:val="1"/>
                <w:color w:val="auto"/>
              </w:rPr>
            </w:pPr>
          </w:p>
        </w:tc>
      </w:tr>
      <w:tr>
        <w:trPr>
          <w:trHeight w:val="177"/>
        </w:trPr>
        <w:tc>
          <w:tcPr>
            <w:tcW w:w="8120" w:type="dxa"/>
            <w:vAlign w:val="bottom"/>
            <w:tcBorders>
              <w:bottom w:val="single" w:sz="8" w:color="CCEEFF"/>
            </w:tcBorders>
            <w:gridSpan w:val="2"/>
          </w:tcPr>
          <w:p>
            <w:pPr>
              <w:ind w:left="580"/>
              <w:spacing w:after="0"/>
              <w:rPr>
                <w:sz w:val="20"/>
                <w:szCs w:val="20"/>
                <w:color w:val="auto"/>
              </w:rPr>
            </w:pPr>
            <w:r>
              <w:rPr>
                <w:rFonts w:ascii="Arial" w:cs="Arial" w:eastAsia="Arial" w:hAnsi="Arial"/>
                <w:sz w:val="14"/>
                <w:szCs w:val="14"/>
                <w:color w:val="auto"/>
              </w:rPr>
              <w:t>Total net revenue</w:t>
            </w:r>
          </w:p>
        </w:tc>
        <w:tc>
          <w:tcPr>
            <w:tcW w:w="74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1,269</w:t>
            </w:r>
          </w:p>
        </w:tc>
        <w:tc>
          <w:tcPr>
            <w:tcW w:w="80" w:type="dxa"/>
            <w:vAlign w:val="bottom"/>
            <w:tcBorders>
              <w:bottom w:val="single" w:sz="8" w:color="CCEEFF"/>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1,170</w:t>
            </w:r>
          </w:p>
        </w:tc>
        <w:tc>
          <w:tcPr>
            <w:tcW w:w="0" w:type="dxa"/>
            <w:vAlign w:val="bottom"/>
          </w:tcPr>
          <w:p>
            <w:pPr>
              <w:spacing w:after="0"/>
              <w:rPr>
                <w:sz w:val="1"/>
                <w:szCs w:val="1"/>
                <w:color w:val="auto"/>
              </w:rPr>
            </w:pPr>
          </w:p>
        </w:tc>
      </w:tr>
      <w:tr>
        <w:trPr>
          <w:trHeight w:val="170"/>
        </w:trPr>
        <w:tc>
          <w:tcPr>
            <w:tcW w:w="1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Cost of revenue:</w:t>
            </w:r>
          </w:p>
        </w:tc>
        <w:tc>
          <w:tcPr>
            <w:tcW w:w="7040" w:type="dxa"/>
            <w:vAlign w:val="bottom"/>
            <w:shd w:val="clear" w:color="auto" w:fill="CCEEFF"/>
          </w:tcPr>
          <w:p>
            <w:pPr>
              <w:spacing w:after="0"/>
              <w:rPr>
                <w:sz w:val="14"/>
                <w:szCs w:val="14"/>
                <w:color w:val="auto"/>
              </w:rPr>
            </w:pPr>
          </w:p>
        </w:tc>
        <w:tc>
          <w:tcPr>
            <w:tcW w:w="740" w:type="dxa"/>
            <w:vAlign w:val="bottom"/>
            <w:shd w:val="clear" w:color="auto" w:fill="CCEEFF"/>
          </w:tcPr>
          <w:p>
            <w:pPr>
              <w:spacing w:after="0"/>
              <w:rPr>
                <w:sz w:val="14"/>
                <w:szCs w:val="14"/>
                <w:color w:val="auto"/>
              </w:rPr>
            </w:pPr>
          </w:p>
        </w:tc>
        <w:tc>
          <w:tcPr>
            <w:tcW w:w="44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92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8120" w:type="dxa"/>
            <w:vAlign w:val="bottom"/>
            <w:gridSpan w:val="2"/>
          </w:tcPr>
          <w:p>
            <w:pPr>
              <w:ind w:left="300"/>
              <w:spacing w:after="0"/>
              <w:rPr>
                <w:sz w:val="20"/>
                <w:szCs w:val="20"/>
                <w:color w:val="auto"/>
              </w:rPr>
            </w:pPr>
            <w:r>
              <w:rPr>
                <w:rFonts w:ascii="Arial" w:cs="Arial" w:eastAsia="Arial" w:hAnsi="Arial"/>
                <w:sz w:val="14"/>
                <w:szCs w:val="14"/>
                <w:color w:val="auto"/>
              </w:rPr>
              <w:t>Cost of subscription and maintenance revenue</w:t>
            </w:r>
          </w:p>
        </w:tc>
        <w:tc>
          <w:tcPr>
            <w:tcW w:w="740" w:type="dxa"/>
            <w:vAlign w:val="bottom"/>
          </w:tcPr>
          <w:p>
            <w:pPr>
              <w:spacing w:after="0"/>
              <w:rPr>
                <w:sz w:val="16"/>
                <w:szCs w:val="16"/>
                <w:color w:val="auto"/>
              </w:rPr>
            </w:pPr>
          </w:p>
        </w:tc>
        <w:tc>
          <w:tcPr>
            <w:tcW w:w="440" w:type="dxa"/>
            <w:vAlign w:val="bottom"/>
          </w:tcPr>
          <w:p>
            <w:pPr>
              <w:jc w:val="right"/>
              <w:ind w:right="10"/>
              <w:spacing w:after="0"/>
              <w:rPr>
                <w:sz w:val="20"/>
                <w:szCs w:val="20"/>
                <w:color w:val="auto"/>
              </w:rPr>
            </w:pPr>
            <w:r>
              <w:rPr>
                <w:rFonts w:ascii="Arial" w:cs="Arial" w:eastAsia="Arial" w:hAnsi="Arial"/>
                <w:sz w:val="14"/>
                <w:szCs w:val="14"/>
                <w:color w:val="auto"/>
              </w:rPr>
              <w:t>96</w:t>
            </w: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20" w:type="dxa"/>
            <w:vAlign w:val="bottom"/>
          </w:tcPr>
          <w:p>
            <w:pPr>
              <w:jc w:val="right"/>
              <w:ind w:right="10"/>
              <w:spacing w:after="0"/>
              <w:rPr>
                <w:sz w:val="20"/>
                <w:szCs w:val="20"/>
                <w:color w:val="auto"/>
              </w:rPr>
            </w:pPr>
            <w:r>
              <w:rPr>
                <w:rFonts w:ascii="Arial" w:cs="Arial" w:eastAsia="Arial" w:hAnsi="Arial"/>
                <w:sz w:val="14"/>
                <w:szCs w:val="14"/>
                <w:color w:val="auto"/>
              </w:rPr>
              <w:t>84</w:t>
            </w:r>
          </w:p>
        </w:tc>
        <w:tc>
          <w:tcPr>
            <w:tcW w:w="0" w:type="dxa"/>
            <w:vAlign w:val="bottom"/>
          </w:tcPr>
          <w:p>
            <w:pPr>
              <w:spacing w:after="0"/>
              <w:rPr>
                <w:sz w:val="1"/>
                <w:szCs w:val="1"/>
                <w:color w:val="auto"/>
              </w:rPr>
            </w:pPr>
          </w:p>
        </w:tc>
      </w:tr>
      <w:tr>
        <w:trPr>
          <w:trHeight w:val="190"/>
        </w:trPr>
        <w:tc>
          <w:tcPr>
            <w:tcW w:w="8120" w:type="dxa"/>
            <w:vAlign w:val="bottom"/>
            <w:gridSpan w:val="2"/>
            <w:shd w:val="clear" w:color="auto" w:fill="CCEEFF"/>
          </w:tcPr>
          <w:p>
            <w:pPr>
              <w:ind w:left="300"/>
              <w:spacing w:after="0"/>
              <w:rPr>
                <w:sz w:val="20"/>
                <w:szCs w:val="20"/>
                <w:color w:val="auto"/>
              </w:rPr>
            </w:pPr>
            <w:r>
              <w:rPr>
                <w:rFonts w:ascii="Arial" w:cs="Arial" w:eastAsia="Arial" w:hAnsi="Arial"/>
                <w:sz w:val="14"/>
                <w:szCs w:val="14"/>
                <w:color w:val="auto"/>
              </w:rPr>
              <w:t>Cost of other revenue</w:t>
            </w:r>
          </w:p>
        </w:tc>
        <w:tc>
          <w:tcPr>
            <w:tcW w:w="740" w:type="dxa"/>
            <w:vAlign w:val="bottom"/>
            <w:shd w:val="clear" w:color="auto" w:fill="CCEEFF"/>
          </w:tcPr>
          <w:p>
            <w:pPr>
              <w:spacing w:after="0"/>
              <w:rPr>
                <w:sz w:val="16"/>
                <w:szCs w:val="16"/>
                <w:color w:val="auto"/>
              </w:rPr>
            </w:pPr>
          </w:p>
        </w:tc>
        <w:tc>
          <w:tcPr>
            <w:tcW w:w="4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20</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19</w:t>
            </w:r>
          </w:p>
        </w:tc>
        <w:tc>
          <w:tcPr>
            <w:tcW w:w="0" w:type="dxa"/>
            <w:vAlign w:val="bottom"/>
          </w:tcPr>
          <w:p>
            <w:pPr>
              <w:spacing w:after="0"/>
              <w:rPr>
                <w:sz w:val="1"/>
                <w:szCs w:val="1"/>
                <w:color w:val="auto"/>
              </w:rPr>
            </w:pPr>
          </w:p>
        </w:tc>
      </w:tr>
      <w:tr>
        <w:trPr>
          <w:trHeight w:val="185"/>
        </w:trPr>
        <w:tc>
          <w:tcPr>
            <w:tcW w:w="8120" w:type="dxa"/>
            <w:vAlign w:val="bottom"/>
            <w:tcBorders>
              <w:bottom w:val="single" w:sz="8" w:color="CCEEFF"/>
            </w:tcBorders>
            <w:gridSpan w:val="2"/>
          </w:tcPr>
          <w:p>
            <w:pPr>
              <w:ind w:left="300"/>
              <w:spacing w:after="0"/>
              <w:rPr>
                <w:sz w:val="20"/>
                <w:szCs w:val="20"/>
                <w:color w:val="auto"/>
              </w:rPr>
            </w:pPr>
            <w:r>
              <w:rPr>
                <w:rFonts w:ascii="Arial" w:cs="Arial" w:eastAsia="Arial" w:hAnsi="Arial"/>
                <w:sz w:val="14"/>
                <w:szCs w:val="14"/>
                <w:color w:val="auto"/>
              </w:rPr>
              <w:t>Amortization of developed technologies</w:t>
            </w:r>
          </w:p>
        </w:tc>
        <w:tc>
          <w:tcPr>
            <w:tcW w:w="74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11</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14</w:t>
            </w:r>
          </w:p>
        </w:tc>
        <w:tc>
          <w:tcPr>
            <w:tcW w:w="0" w:type="dxa"/>
            <w:vAlign w:val="bottom"/>
          </w:tcPr>
          <w:p>
            <w:pPr>
              <w:spacing w:after="0"/>
              <w:rPr>
                <w:sz w:val="1"/>
                <w:szCs w:val="1"/>
                <w:color w:val="auto"/>
              </w:rPr>
            </w:pPr>
          </w:p>
        </w:tc>
      </w:tr>
      <w:tr>
        <w:trPr>
          <w:trHeight w:val="182"/>
        </w:trPr>
        <w:tc>
          <w:tcPr>
            <w:tcW w:w="8120" w:type="dxa"/>
            <w:vAlign w:val="bottom"/>
            <w:gridSpan w:val="2"/>
            <w:shd w:val="clear" w:color="auto" w:fill="CCEEFF"/>
          </w:tcPr>
          <w:p>
            <w:pPr>
              <w:ind w:left="580"/>
              <w:spacing w:after="0"/>
              <w:rPr>
                <w:sz w:val="20"/>
                <w:szCs w:val="20"/>
                <w:color w:val="auto"/>
              </w:rPr>
            </w:pPr>
            <w:r>
              <w:rPr>
                <w:rFonts w:ascii="Arial" w:cs="Arial" w:eastAsia="Arial" w:hAnsi="Arial"/>
                <w:sz w:val="14"/>
                <w:szCs w:val="14"/>
                <w:color w:val="auto"/>
              </w:rPr>
              <w:t>Total cost of revenue</w:t>
            </w:r>
          </w:p>
        </w:tc>
        <w:tc>
          <w:tcPr>
            <w:tcW w:w="740" w:type="dxa"/>
            <w:vAlign w:val="bottom"/>
            <w:tcBorders>
              <w:bottom w:val="single" w:sz="8" w:color="auto"/>
            </w:tcBorders>
            <w:shd w:val="clear" w:color="auto" w:fill="CCEEFF"/>
          </w:tcPr>
          <w:p>
            <w:pPr>
              <w:spacing w:after="0"/>
              <w:rPr>
                <w:sz w:val="15"/>
                <w:szCs w:val="15"/>
                <w:color w:val="auto"/>
              </w:rPr>
            </w:pPr>
          </w:p>
        </w:tc>
        <w:tc>
          <w:tcPr>
            <w:tcW w:w="4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127</w:t>
            </w:r>
          </w:p>
        </w:tc>
        <w:tc>
          <w:tcPr>
            <w:tcW w:w="80" w:type="dxa"/>
            <w:vAlign w:val="bottom"/>
            <w:shd w:val="clear" w:color="auto" w:fill="CCEEFF"/>
          </w:tcPr>
          <w:p>
            <w:pPr>
              <w:spacing w:after="0"/>
              <w:rPr>
                <w:sz w:val="15"/>
                <w:szCs w:val="15"/>
                <w:color w:val="auto"/>
              </w:rPr>
            </w:pPr>
          </w:p>
        </w:tc>
        <w:tc>
          <w:tcPr>
            <w:tcW w:w="280" w:type="dxa"/>
            <w:vAlign w:val="bottom"/>
            <w:tcBorders>
              <w:bottom w:val="single" w:sz="8" w:color="auto"/>
            </w:tcBorders>
            <w:shd w:val="clear" w:color="auto" w:fill="CCEEFF"/>
          </w:tcPr>
          <w:p>
            <w:pPr>
              <w:spacing w:after="0"/>
              <w:rPr>
                <w:sz w:val="15"/>
                <w:szCs w:val="15"/>
                <w:color w:val="auto"/>
              </w:rPr>
            </w:pPr>
          </w:p>
        </w:tc>
        <w:tc>
          <w:tcPr>
            <w:tcW w:w="9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117</w:t>
            </w:r>
          </w:p>
        </w:tc>
        <w:tc>
          <w:tcPr>
            <w:tcW w:w="0" w:type="dxa"/>
            <w:vAlign w:val="bottom"/>
          </w:tcPr>
          <w:p>
            <w:pPr>
              <w:spacing w:after="0"/>
              <w:rPr>
                <w:sz w:val="1"/>
                <w:szCs w:val="1"/>
                <w:color w:val="auto"/>
              </w:rPr>
            </w:pPr>
          </w:p>
        </w:tc>
      </w:tr>
      <w:tr>
        <w:trPr>
          <w:trHeight w:val="177"/>
        </w:trPr>
        <w:tc>
          <w:tcPr>
            <w:tcW w:w="1080" w:type="dxa"/>
            <w:vAlign w:val="bottom"/>
          </w:tcPr>
          <w:p>
            <w:pPr>
              <w:ind w:left="20"/>
              <w:spacing w:after="0"/>
              <w:rPr>
                <w:sz w:val="20"/>
                <w:szCs w:val="20"/>
                <w:color w:val="auto"/>
              </w:rPr>
            </w:pPr>
            <w:r>
              <w:rPr>
                <w:rFonts w:ascii="Arial" w:cs="Arial" w:eastAsia="Arial" w:hAnsi="Arial"/>
                <w:sz w:val="14"/>
                <w:szCs w:val="14"/>
                <w:color w:val="auto"/>
              </w:rPr>
              <w:t>Gross profit</w:t>
            </w:r>
          </w:p>
        </w:tc>
        <w:tc>
          <w:tcPr>
            <w:tcW w:w="70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1,142</w:t>
            </w: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920" w:type="dxa"/>
            <w:vAlign w:val="bottom"/>
          </w:tcPr>
          <w:p>
            <w:pPr>
              <w:jc w:val="right"/>
              <w:spacing w:after="0"/>
              <w:rPr>
                <w:sz w:val="20"/>
                <w:szCs w:val="20"/>
                <w:color w:val="auto"/>
              </w:rPr>
            </w:pPr>
            <w:r>
              <w:rPr>
                <w:rFonts w:ascii="Arial" w:cs="Arial" w:eastAsia="Arial" w:hAnsi="Arial"/>
                <w:sz w:val="14"/>
                <w:szCs w:val="14"/>
                <w:color w:val="auto"/>
              </w:rPr>
              <w:t>1,053</w:t>
            </w:r>
          </w:p>
        </w:tc>
        <w:tc>
          <w:tcPr>
            <w:tcW w:w="0" w:type="dxa"/>
            <w:vAlign w:val="bottom"/>
          </w:tcPr>
          <w:p>
            <w:pPr>
              <w:spacing w:after="0"/>
              <w:rPr>
                <w:sz w:val="1"/>
                <w:szCs w:val="1"/>
                <w:color w:val="auto"/>
              </w:rPr>
            </w:pPr>
          </w:p>
        </w:tc>
      </w:tr>
      <w:tr>
        <w:trPr>
          <w:trHeight w:val="190"/>
        </w:trPr>
        <w:tc>
          <w:tcPr>
            <w:tcW w:w="8120" w:type="dxa"/>
            <w:vAlign w:val="bottom"/>
            <w:gridSpan w:val="2"/>
            <w:shd w:val="clear" w:color="auto" w:fill="CCEEFF"/>
          </w:tcPr>
          <w:p>
            <w:pPr>
              <w:ind w:left="20"/>
              <w:spacing w:after="0"/>
              <w:rPr>
                <w:sz w:val="20"/>
                <w:szCs w:val="20"/>
                <w:color w:val="auto"/>
              </w:rPr>
            </w:pPr>
            <w:r>
              <w:rPr>
                <w:rFonts w:ascii="Arial" w:cs="Arial" w:eastAsia="Arial" w:hAnsi="Arial"/>
                <w:sz w:val="14"/>
                <w:szCs w:val="14"/>
                <w:color w:val="auto"/>
              </w:rPr>
              <w:t>Operating expenses:</w:t>
            </w:r>
          </w:p>
        </w:tc>
        <w:tc>
          <w:tcPr>
            <w:tcW w:w="740" w:type="dxa"/>
            <w:vAlign w:val="bottom"/>
            <w:shd w:val="clear" w:color="auto" w:fill="CCEEFF"/>
          </w:tcPr>
          <w:p>
            <w:pPr>
              <w:spacing w:after="0"/>
              <w:rPr>
                <w:sz w:val="16"/>
                <w:szCs w:val="16"/>
                <w:color w:val="auto"/>
              </w:rPr>
            </w:pPr>
          </w:p>
        </w:tc>
        <w:tc>
          <w:tcPr>
            <w:tcW w:w="4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2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8120" w:type="dxa"/>
            <w:vAlign w:val="bottom"/>
            <w:gridSpan w:val="2"/>
          </w:tcPr>
          <w:p>
            <w:pPr>
              <w:ind w:left="300"/>
              <w:spacing w:after="0"/>
              <w:rPr>
                <w:sz w:val="20"/>
                <w:szCs w:val="20"/>
                <w:color w:val="auto"/>
              </w:rPr>
            </w:pPr>
            <w:r>
              <w:rPr>
                <w:rFonts w:ascii="Arial" w:cs="Arial" w:eastAsia="Arial" w:hAnsi="Arial"/>
                <w:sz w:val="14"/>
                <w:szCs w:val="14"/>
                <w:color w:val="auto"/>
              </w:rPr>
              <w:t>Marketing and sales</w:t>
            </w:r>
          </w:p>
        </w:tc>
        <w:tc>
          <w:tcPr>
            <w:tcW w:w="740" w:type="dxa"/>
            <w:vAlign w:val="bottom"/>
          </w:tcPr>
          <w:p>
            <w:pPr>
              <w:spacing w:after="0"/>
              <w:rPr>
                <w:sz w:val="16"/>
                <w:szCs w:val="16"/>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456</w:t>
            </w: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20" w:type="dxa"/>
            <w:vAlign w:val="bottom"/>
          </w:tcPr>
          <w:p>
            <w:pPr>
              <w:jc w:val="right"/>
              <w:spacing w:after="0"/>
              <w:rPr>
                <w:sz w:val="20"/>
                <w:szCs w:val="20"/>
                <w:color w:val="auto"/>
              </w:rPr>
            </w:pPr>
            <w:r>
              <w:rPr>
                <w:rFonts w:ascii="Arial" w:cs="Arial" w:eastAsia="Arial" w:hAnsi="Arial"/>
                <w:sz w:val="14"/>
                <w:szCs w:val="14"/>
                <w:color w:val="auto"/>
              </w:rPr>
              <w:t>419</w:t>
            </w:r>
          </w:p>
        </w:tc>
        <w:tc>
          <w:tcPr>
            <w:tcW w:w="0" w:type="dxa"/>
            <w:vAlign w:val="bottom"/>
          </w:tcPr>
          <w:p>
            <w:pPr>
              <w:spacing w:after="0"/>
              <w:rPr>
                <w:sz w:val="1"/>
                <w:szCs w:val="1"/>
                <w:color w:val="auto"/>
              </w:rPr>
            </w:pPr>
          </w:p>
        </w:tc>
      </w:tr>
      <w:tr>
        <w:trPr>
          <w:trHeight w:val="190"/>
        </w:trPr>
        <w:tc>
          <w:tcPr>
            <w:tcW w:w="8120" w:type="dxa"/>
            <w:vAlign w:val="bottom"/>
            <w:gridSpan w:val="2"/>
            <w:shd w:val="clear" w:color="auto" w:fill="CCEEFF"/>
          </w:tcPr>
          <w:p>
            <w:pPr>
              <w:ind w:left="300"/>
              <w:spacing w:after="0"/>
              <w:rPr>
                <w:sz w:val="20"/>
                <w:szCs w:val="20"/>
                <w:color w:val="auto"/>
              </w:rPr>
            </w:pPr>
            <w:r>
              <w:rPr>
                <w:rFonts w:ascii="Arial" w:cs="Arial" w:eastAsia="Arial" w:hAnsi="Arial"/>
                <w:sz w:val="14"/>
                <w:szCs w:val="14"/>
                <w:color w:val="auto"/>
              </w:rPr>
              <w:t>Research and development</w:t>
            </w:r>
          </w:p>
        </w:tc>
        <w:tc>
          <w:tcPr>
            <w:tcW w:w="740" w:type="dxa"/>
            <w:vAlign w:val="bottom"/>
            <w:shd w:val="clear" w:color="auto" w:fill="CCEEFF"/>
          </w:tcPr>
          <w:p>
            <w:pPr>
              <w:spacing w:after="0"/>
              <w:rPr>
                <w:sz w:val="16"/>
                <w:szCs w:val="16"/>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327</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289</w:t>
            </w:r>
          </w:p>
        </w:tc>
        <w:tc>
          <w:tcPr>
            <w:tcW w:w="0" w:type="dxa"/>
            <w:vAlign w:val="bottom"/>
          </w:tcPr>
          <w:p>
            <w:pPr>
              <w:spacing w:after="0"/>
              <w:rPr>
                <w:sz w:val="1"/>
                <w:szCs w:val="1"/>
                <w:color w:val="auto"/>
              </w:rPr>
            </w:pPr>
          </w:p>
        </w:tc>
      </w:tr>
      <w:tr>
        <w:trPr>
          <w:trHeight w:val="185"/>
        </w:trPr>
        <w:tc>
          <w:tcPr>
            <w:tcW w:w="8120" w:type="dxa"/>
            <w:vAlign w:val="bottom"/>
            <w:gridSpan w:val="2"/>
          </w:tcPr>
          <w:p>
            <w:pPr>
              <w:ind w:left="300"/>
              <w:spacing w:after="0"/>
              <w:rPr>
                <w:sz w:val="20"/>
                <w:szCs w:val="20"/>
                <w:color w:val="auto"/>
              </w:rPr>
            </w:pPr>
            <w:r>
              <w:rPr>
                <w:rFonts w:ascii="Arial" w:cs="Arial" w:eastAsia="Arial" w:hAnsi="Arial"/>
                <w:sz w:val="14"/>
                <w:szCs w:val="14"/>
                <w:color w:val="auto"/>
              </w:rPr>
              <w:t>General and administrative</w:t>
            </w:r>
          </w:p>
        </w:tc>
        <w:tc>
          <w:tcPr>
            <w:tcW w:w="740" w:type="dxa"/>
            <w:vAlign w:val="bottom"/>
          </w:tcPr>
          <w:p>
            <w:pPr>
              <w:spacing w:after="0"/>
              <w:rPr>
                <w:sz w:val="16"/>
                <w:szCs w:val="16"/>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132</w:t>
            </w: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20" w:type="dxa"/>
            <w:vAlign w:val="bottom"/>
          </w:tcPr>
          <w:p>
            <w:pPr>
              <w:jc w:val="right"/>
              <w:spacing w:after="0"/>
              <w:rPr>
                <w:sz w:val="20"/>
                <w:szCs w:val="20"/>
                <w:color w:val="auto"/>
              </w:rPr>
            </w:pPr>
            <w:r>
              <w:rPr>
                <w:rFonts w:ascii="Arial" w:cs="Arial" w:eastAsia="Arial" w:hAnsi="Arial"/>
                <w:sz w:val="14"/>
                <w:szCs w:val="14"/>
                <w:color w:val="auto"/>
              </w:rPr>
              <w:t>120</w:t>
            </w:r>
          </w:p>
        </w:tc>
        <w:tc>
          <w:tcPr>
            <w:tcW w:w="0" w:type="dxa"/>
            <w:vAlign w:val="bottom"/>
          </w:tcPr>
          <w:p>
            <w:pPr>
              <w:spacing w:after="0"/>
              <w:rPr>
                <w:sz w:val="1"/>
                <w:szCs w:val="1"/>
                <w:color w:val="auto"/>
              </w:rPr>
            </w:pPr>
          </w:p>
        </w:tc>
      </w:tr>
      <w:tr>
        <w:trPr>
          <w:trHeight w:val="190"/>
        </w:trPr>
        <w:tc>
          <w:tcPr>
            <w:tcW w:w="8120" w:type="dxa"/>
            <w:vAlign w:val="bottom"/>
            <w:gridSpan w:val="2"/>
            <w:shd w:val="clear" w:color="auto" w:fill="CCEEFF"/>
          </w:tcPr>
          <w:p>
            <w:pPr>
              <w:ind w:left="300"/>
              <w:spacing w:after="0"/>
              <w:rPr>
                <w:sz w:val="20"/>
                <w:szCs w:val="20"/>
                <w:color w:val="auto"/>
              </w:rPr>
            </w:pPr>
            <w:r>
              <w:rPr>
                <w:rFonts w:ascii="Arial" w:cs="Arial" w:eastAsia="Arial" w:hAnsi="Arial"/>
                <w:sz w:val="14"/>
                <w:szCs w:val="14"/>
                <w:color w:val="auto"/>
              </w:rPr>
              <w:t>Amortization of purchased intangibles</w:t>
            </w:r>
          </w:p>
        </w:tc>
        <w:tc>
          <w:tcPr>
            <w:tcW w:w="740" w:type="dxa"/>
            <w:vAlign w:val="bottom"/>
            <w:tcBorders>
              <w:bottom w:val="single" w:sz="8" w:color="auto"/>
            </w:tcBorders>
            <w:shd w:val="clear" w:color="auto" w:fill="CCEEFF"/>
          </w:tcPr>
          <w:p>
            <w:pPr>
              <w:spacing w:after="0"/>
              <w:rPr>
                <w:sz w:val="16"/>
                <w:szCs w:val="16"/>
                <w:color w:val="auto"/>
              </w:rPr>
            </w:pPr>
          </w:p>
        </w:tc>
        <w:tc>
          <w:tcPr>
            <w:tcW w:w="44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10</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2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11</w:t>
            </w:r>
          </w:p>
        </w:tc>
        <w:tc>
          <w:tcPr>
            <w:tcW w:w="0" w:type="dxa"/>
            <w:vAlign w:val="bottom"/>
          </w:tcPr>
          <w:p>
            <w:pPr>
              <w:spacing w:after="0"/>
              <w:rPr>
                <w:sz w:val="1"/>
                <w:szCs w:val="1"/>
                <w:color w:val="auto"/>
              </w:rPr>
            </w:pPr>
          </w:p>
        </w:tc>
      </w:tr>
      <w:tr>
        <w:trPr>
          <w:trHeight w:val="177"/>
        </w:trPr>
        <w:tc>
          <w:tcPr>
            <w:tcW w:w="8120" w:type="dxa"/>
            <w:vAlign w:val="bottom"/>
            <w:tcBorders>
              <w:bottom w:val="single" w:sz="8" w:color="CCEEFF"/>
            </w:tcBorders>
            <w:gridSpan w:val="2"/>
          </w:tcPr>
          <w:p>
            <w:pPr>
              <w:ind w:left="580"/>
              <w:spacing w:after="0"/>
              <w:rPr>
                <w:sz w:val="20"/>
                <w:szCs w:val="20"/>
                <w:color w:val="auto"/>
              </w:rPr>
            </w:pPr>
            <w:r>
              <w:rPr>
                <w:rFonts w:ascii="Arial" w:cs="Arial" w:eastAsia="Arial" w:hAnsi="Arial"/>
                <w:sz w:val="14"/>
                <w:szCs w:val="14"/>
                <w:color w:val="auto"/>
              </w:rPr>
              <w:t>Total operating expenses</w:t>
            </w:r>
          </w:p>
        </w:tc>
        <w:tc>
          <w:tcPr>
            <w:tcW w:w="74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925</w:t>
            </w:r>
          </w:p>
        </w:tc>
        <w:tc>
          <w:tcPr>
            <w:tcW w:w="80" w:type="dxa"/>
            <w:vAlign w:val="bottom"/>
            <w:tcBorders>
              <w:bottom w:val="single" w:sz="8" w:color="CCEEFF"/>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839</w:t>
            </w:r>
          </w:p>
        </w:tc>
        <w:tc>
          <w:tcPr>
            <w:tcW w:w="0" w:type="dxa"/>
            <w:vAlign w:val="bottom"/>
          </w:tcPr>
          <w:p>
            <w:pPr>
              <w:spacing w:after="0"/>
              <w:rPr>
                <w:sz w:val="1"/>
                <w:szCs w:val="1"/>
                <w:color w:val="auto"/>
              </w:rPr>
            </w:pPr>
          </w:p>
        </w:tc>
      </w:tr>
      <w:tr>
        <w:trPr>
          <w:trHeight w:val="182"/>
        </w:trPr>
        <w:tc>
          <w:tcPr>
            <w:tcW w:w="8120" w:type="dxa"/>
            <w:vAlign w:val="bottom"/>
            <w:gridSpan w:val="2"/>
            <w:shd w:val="clear" w:color="auto" w:fill="CCEEFF"/>
          </w:tcPr>
          <w:p>
            <w:pPr>
              <w:ind w:left="20"/>
              <w:spacing w:after="0"/>
              <w:rPr>
                <w:sz w:val="20"/>
                <w:szCs w:val="20"/>
                <w:color w:val="auto"/>
              </w:rPr>
            </w:pPr>
            <w:r>
              <w:rPr>
                <w:rFonts w:ascii="Arial" w:cs="Arial" w:eastAsia="Arial" w:hAnsi="Arial"/>
                <w:sz w:val="14"/>
                <w:szCs w:val="14"/>
                <w:color w:val="auto"/>
              </w:rPr>
              <w:t>Income from operations</w:t>
            </w:r>
          </w:p>
        </w:tc>
        <w:tc>
          <w:tcPr>
            <w:tcW w:w="740" w:type="dxa"/>
            <w:vAlign w:val="bottom"/>
            <w:shd w:val="clear" w:color="auto" w:fill="CCEEFF"/>
          </w:tcPr>
          <w:p>
            <w:pPr>
              <w:spacing w:after="0"/>
              <w:rPr>
                <w:sz w:val="15"/>
                <w:szCs w:val="15"/>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217</w:t>
            </w:r>
          </w:p>
        </w:tc>
        <w:tc>
          <w:tcPr>
            <w:tcW w:w="80" w:type="dxa"/>
            <w:vAlign w:val="bottom"/>
            <w:shd w:val="clear" w:color="auto" w:fill="CCEEFF"/>
          </w:tcPr>
          <w:p>
            <w:pPr>
              <w:spacing w:after="0"/>
              <w:rPr>
                <w:sz w:val="15"/>
                <w:szCs w:val="15"/>
                <w:color w:val="auto"/>
              </w:rPr>
            </w:pPr>
          </w:p>
        </w:tc>
        <w:tc>
          <w:tcPr>
            <w:tcW w:w="280" w:type="dxa"/>
            <w:vAlign w:val="bottom"/>
            <w:shd w:val="clear" w:color="auto" w:fill="CCEEFF"/>
          </w:tcPr>
          <w:p>
            <w:pPr>
              <w:spacing w:after="0"/>
              <w:rPr>
                <w:sz w:val="15"/>
                <w:szCs w:val="15"/>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214</w:t>
            </w:r>
          </w:p>
        </w:tc>
        <w:tc>
          <w:tcPr>
            <w:tcW w:w="0" w:type="dxa"/>
            <w:vAlign w:val="bottom"/>
          </w:tcPr>
          <w:p>
            <w:pPr>
              <w:spacing w:after="0"/>
              <w:rPr>
                <w:sz w:val="1"/>
                <w:szCs w:val="1"/>
                <w:color w:val="auto"/>
              </w:rPr>
            </w:pPr>
          </w:p>
        </w:tc>
      </w:tr>
      <w:tr>
        <w:trPr>
          <w:trHeight w:val="185"/>
        </w:trPr>
        <w:tc>
          <w:tcPr>
            <w:tcW w:w="8120" w:type="dxa"/>
            <w:vAlign w:val="bottom"/>
            <w:tcBorders>
              <w:bottom w:val="single" w:sz="8" w:color="CCEEFF"/>
            </w:tcBorders>
            <w:gridSpan w:val="2"/>
          </w:tcPr>
          <w:p>
            <w:pPr>
              <w:ind w:left="20"/>
              <w:spacing w:after="0"/>
              <w:rPr>
                <w:sz w:val="20"/>
                <w:szCs w:val="20"/>
                <w:color w:val="auto"/>
              </w:rPr>
            </w:pPr>
            <w:r>
              <w:rPr>
                <w:rFonts w:ascii="Arial" w:cs="Arial" w:eastAsia="Arial" w:hAnsi="Arial"/>
                <w:sz w:val="14"/>
                <w:szCs w:val="14"/>
                <w:color w:val="auto"/>
              </w:rPr>
              <w:t>Interest and other income (expense), net</w:t>
            </w:r>
          </w:p>
        </w:tc>
        <w:tc>
          <w:tcPr>
            <w:tcW w:w="74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(19)</w:t>
            </w:r>
          </w:p>
        </w:tc>
        <w:tc>
          <w:tcPr>
            <w:tcW w:w="0" w:type="dxa"/>
            <w:vAlign w:val="bottom"/>
          </w:tcPr>
          <w:p>
            <w:pPr>
              <w:spacing w:after="0"/>
              <w:rPr>
                <w:sz w:val="1"/>
                <w:szCs w:val="1"/>
                <w:color w:val="auto"/>
              </w:rPr>
            </w:pPr>
          </w:p>
        </w:tc>
      </w:tr>
      <w:tr>
        <w:trPr>
          <w:trHeight w:val="182"/>
        </w:trPr>
        <w:tc>
          <w:tcPr>
            <w:tcW w:w="8120" w:type="dxa"/>
            <w:vAlign w:val="bottom"/>
            <w:gridSpan w:val="2"/>
            <w:shd w:val="clear" w:color="auto" w:fill="CCEEFF"/>
          </w:tcPr>
          <w:p>
            <w:pPr>
              <w:ind w:left="20"/>
              <w:spacing w:after="0"/>
              <w:rPr>
                <w:sz w:val="20"/>
                <w:szCs w:val="20"/>
                <w:color w:val="auto"/>
              </w:rPr>
            </w:pPr>
            <w:r>
              <w:rPr>
                <w:rFonts w:ascii="Arial" w:cs="Arial" w:eastAsia="Arial" w:hAnsi="Arial"/>
                <w:sz w:val="14"/>
                <w:szCs w:val="14"/>
                <w:color w:val="auto"/>
              </w:rPr>
              <w:t>Income before income taxes</w:t>
            </w:r>
          </w:p>
        </w:tc>
        <w:tc>
          <w:tcPr>
            <w:tcW w:w="740" w:type="dxa"/>
            <w:vAlign w:val="bottom"/>
            <w:shd w:val="clear" w:color="auto" w:fill="CCEEFF"/>
          </w:tcPr>
          <w:p>
            <w:pPr>
              <w:spacing w:after="0"/>
              <w:rPr>
                <w:sz w:val="15"/>
                <w:szCs w:val="15"/>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221</w:t>
            </w:r>
          </w:p>
        </w:tc>
        <w:tc>
          <w:tcPr>
            <w:tcW w:w="80" w:type="dxa"/>
            <w:vAlign w:val="bottom"/>
            <w:shd w:val="clear" w:color="auto" w:fill="CCEEFF"/>
          </w:tcPr>
          <w:p>
            <w:pPr>
              <w:spacing w:after="0"/>
              <w:rPr>
                <w:sz w:val="15"/>
                <w:szCs w:val="15"/>
                <w:color w:val="auto"/>
              </w:rPr>
            </w:pPr>
          </w:p>
        </w:tc>
        <w:tc>
          <w:tcPr>
            <w:tcW w:w="280" w:type="dxa"/>
            <w:vAlign w:val="bottom"/>
            <w:shd w:val="clear" w:color="auto" w:fill="CCEEFF"/>
          </w:tcPr>
          <w:p>
            <w:pPr>
              <w:spacing w:after="0"/>
              <w:rPr>
                <w:sz w:val="15"/>
                <w:szCs w:val="15"/>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195</w:t>
            </w:r>
          </w:p>
        </w:tc>
        <w:tc>
          <w:tcPr>
            <w:tcW w:w="0" w:type="dxa"/>
            <w:vAlign w:val="bottom"/>
          </w:tcPr>
          <w:p>
            <w:pPr>
              <w:spacing w:after="0"/>
              <w:rPr>
                <w:sz w:val="1"/>
                <w:szCs w:val="1"/>
                <w:color w:val="auto"/>
              </w:rPr>
            </w:pPr>
          </w:p>
        </w:tc>
      </w:tr>
      <w:tr>
        <w:trPr>
          <w:trHeight w:val="185"/>
        </w:trPr>
        <w:tc>
          <w:tcPr>
            <w:tcW w:w="8120" w:type="dxa"/>
            <w:vAlign w:val="bottom"/>
            <w:tcBorders>
              <w:bottom w:val="single" w:sz="8" w:color="CCEEFF"/>
            </w:tcBorders>
            <w:gridSpan w:val="2"/>
          </w:tcPr>
          <w:p>
            <w:pPr>
              <w:ind w:left="20"/>
              <w:spacing w:after="0"/>
              <w:rPr>
                <w:sz w:val="20"/>
                <w:szCs w:val="20"/>
                <w:color w:val="auto"/>
              </w:rPr>
            </w:pPr>
            <w:r>
              <w:rPr>
                <w:rFonts w:ascii="Arial" w:cs="Arial" w:eastAsia="Arial" w:hAnsi="Arial"/>
                <w:sz w:val="14"/>
                <w:szCs w:val="14"/>
                <w:color w:val="auto"/>
              </w:rPr>
              <w:t>Provision for income taxes</w:t>
            </w:r>
          </w:p>
        </w:tc>
        <w:tc>
          <w:tcPr>
            <w:tcW w:w="74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(60)</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(49)</w:t>
            </w:r>
          </w:p>
        </w:tc>
        <w:tc>
          <w:tcPr>
            <w:tcW w:w="0" w:type="dxa"/>
            <w:vAlign w:val="bottom"/>
          </w:tcPr>
          <w:p>
            <w:pPr>
              <w:spacing w:after="0"/>
              <w:rPr>
                <w:sz w:val="1"/>
                <w:szCs w:val="1"/>
                <w:color w:val="auto"/>
              </w:rPr>
            </w:pPr>
          </w:p>
        </w:tc>
      </w:tr>
      <w:tr>
        <w:trPr>
          <w:trHeight w:val="199"/>
        </w:trPr>
        <w:tc>
          <w:tcPr>
            <w:tcW w:w="10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Net income</w:t>
            </w:r>
          </w:p>
        </w:tc>
        <w:tc>
          <w:tcPr>
            <w:tcW w:w="7040" w:type="dxa"/>
            <w:vAlign w:val="bottom"/>
            <w:tcBorders>
              <w:bottom w:val="single" w:sz="8" w:color="CCEEFF"/>
            </w:tcBorders>
            <w:shd w:val="clear" w:color="auto" w:fill="CCEEFF"/>
          </w:tcPr>
          <w:p>
            <w:pPr>
              <w:spacing w:after="0"/>
              <w:rPr>
                <w:sz w:val="17"/>
                <w:szCs w:val="17"/>
                <w:color w:val="auto"/>
              </w:rPr>
            </w:pPr>
          </w:p>
        </w:tc>
        <w:tc>
          <w:tcPr>
            <w:tcW w:w="740" w:type="dxa"/>
            <w:vAlign w:val="bottom"/>
            <w:tcBorders>
              <w:bottom w:val="single" w:sz="8" w:color="auto"/>
            </w:tcBorders>
            <w:shd w:val="clear" w:color="auto" w:fill="CCEEFF"/>
          </w:tcPr>
          <w:p>
            <w:pPr>
              <w:jc w:val="right"/>
              <w:ind w:right="592"/>
              <w:spacing w:after="0"/>
              <w:rPr>
                <w:sz w:val="20"/>
                <w:szCs w:val="20"/>
                <w:color w:val="auto"/>
              </w:rPr>
            </w:pPr>
            <w:r>
              <w:rPr>
                <w:rFonts w:ascii="Arial" w:cs="Arial" w:eastAsia="Arial" w:hAnsi="Arial"/>
                <w:sz w:val="14"/>
                <w:szCs w:val="14"/>
                <w:color w:val="auto"/>
                <w:w w:val="76"/>
              </w:rPr>
              <w:t>$</w:t>
            </w:r>
          </w:p>
        </w:tc>
        <w:tc>
          <w:tcPr>
            <w:tcW w:w="4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161</w:t>
            </w:r>
          </w:p>
        </w:tc>
        <w:tc>
          <w:tcPr>
            <w:tcW w:w="80" w:type="dxa"/>
            <w:vAlign w:val="bottom"/>
            <w:tcBorders>
              <w:bottom w:val="single" w:sz="8" w:color="CCEEFF"/>
            </w:tcBorders>
            <w:shd w:val="clear" w:color="auto" w:fill="CCEEFF"/>
          </w:tcPr>
          <w:p>
            <w:pPr>
              <w:spacing w:after="0"/>
              <w:rPr>
                <w:sz w:val="17"/>
                <w:szCs w:val="17"/>
                <w:color w:val="auto"/>
              </w:rPr>
            </w:pPr>
          </w:p>
        </w:tc>
        <w:tc>
          <w:tcPr>
            <w:tcW w:w="280" w:type="dxa"/>
            <w:vAlign w:val="bottom"/>
            <w:tcBorders>
              <w:bottom w:val="single" w:sz="8" w:color="auto"/>
            </w:tcBorders>
            <w:shd w:val="clear" w:color="auto" w:fill="CCEEFF"/>
          </w:tcPr>
          <w:p>
            <w:pPr>
              <w:jc w:val="right"/>
              <w:ind w:right="110"/>
              <w:spacing w:after="0"/>
              <w:rPr>
                <w:sz w:val="20"/>
                <w:szCs w:val="20"/>
                <w:color w:val="auto"/>
              </w:rPr>
            </w:pPr>
            <w:r>
              <w:rPr>
                <w:rFonts w:ascii="Arial" w:cs="Arial" w:eastAsia="Arial" w:hAnsi="Arial"/>
                <w:sz w:val="14"/>
                <w:szCs w:val="14"/>
                <w:color w:val="auto"/>
              </w:rPr>
              <w:t>$</w:t>
            </w:r>
          </w:p>
        </w:tc>
        <w:tc>
          <w:tcPr>
            <w:tcW w:w="9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146</w:t>
            </w:r>
          </w:p>
        </w:tc>
        <w:tc>
          <w:tcPr>
            <w:tcW w:w="0" w:type="dxa"/>
            <w:vAlign w:val="bottom"/>
          </w:tcPr>
          <w:p>
            <w:pPr>
              <w:spacing w:after="0"/>
              <w:rPr>
                <w:sz w:val="1"/>
                <w:szCs w:val="1"/>
                <w:color w:val="auto"/>
              </w:rPr>
            </w:pPr>
          </w:p>
        </w:tc>
      </w:tr>
      <w:tr>
        <w:trPr>
          <w:trHeight w:val="20"/>
        </w:trPr>
        <w:tc>
          <w:tcPr>
            <w:tcW w:w="8120" w:type="dxa"/>
            <w:vAlign w:val="bottom"/>
            <w:gridSpan w:val="2"/>
            <w:vMerge w:val="restart"/>
          </w:tcPr>
          <w:p>
            <w:pPr>
              <w:ind w:left="20"/>
              <w:spacing w:after="0"/>
              <w:rPr>
                <w:sz w:val="20"/>
                <w:szCs w:val="20"/>
                <w:color w:val="auto"/>
              </w:rPr>
            </w:pPr>
            <w:r>
              <w:rPr>
                <w:rFonts w:ascii="Arial" w:cs="Arial" w:eastAsia="Arial" w:hAnsi="Arial"/>
                <w:sz w:val="14"/>
                <w:szCs w:val="14"/>
                <w:color w:val="auto"/>
              </w:rPr>
              <w:t>Basic net income per share</w:t>
            </w: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4"/>
        </w:trPr>
        <w:tc>
          <w:tcPr>
            <w:tcW w:w="8120" w:type="dxa"/>
            <w:vAlign w:val="bottom"/>
            <w:gridSpan w:val="2"/>
            <w:vMerge w:val="continue"/>
          </w:tcPr>
          <w:p>
            <w:pPr>
              <w:spacing w:after="0"/>
              <w:rPr>
                <w:sz w:val="13"/>
                <w:szCs w:val="13"/>
                <w:color w:val="auto"/>
              </w:rPr>
            </w:pPr>
          </w:p>
        </w:tc>
        <w:tc>
          <w:tcPr>
            <w:tcW w:w="740" w:type="dxa"/>
            <w:vAlign w:val="bottom"/>
          </w:tcPr>
          <w:p>
            <w:pPr>
              <w:jc w:val="right"/>
              <w:ind w:right="592"/>
              <w:spacing w:after="0" w:line="155" w:lineRule="exact"/>
              <w:rPr>
                <w:sz w:val="20"/>
                <w:szCs w:val="20"/>
                <w:color w:val="auto"/>
              </w:rPr>
            </w:pPr>
            <w:r>
              <w:rPr>
                <w:rFonts w:ascii="Arial" w:cs="Arial" w:eastAsia="Arial" w:hAnsi="Arial"/>
                <w:sz w:val="14"/>
                <w:szCs w:val="14"/>
                <w:color w:val="auto"/>
                <w:w w:val="76"/>
              </w:rPr>
              <w:t>$</w:t>
            </w:r>
          </w:p>
        </w:tc>
        <w:tc>
          <w:tcPr>
            <w:tcW w:w="440" w:type="dxa"/>
            <w:vAlign w:val="bottom"/>
          </w:tcPr>
          <w:p>
            <w:pPr>
              <w:jc w:val="right"/>
              <w:ind w:right="10"/>
              <w:spacing w:after="0" w:line="155" w:lineRule="exact"/>
              <w:rPr>
                <w:sz w:val="20"/>
                <w:szCs w:val="20"/>
                <w:color w:val="auto"/>
              </w:rPr>
            </w:pPr>
            <w:r>
              <w:rPr>
                <w:rFonts w:ascii="Arial" w:cs="Arial" w:eastAsia="Arial" w:hAnsi="Arial"/>
                <w:sz w:val="14"/>
                <w:szCs w:val="14"/>
                <w:color w:val="auto"/>
              </w:rPr>
              <w:t>0.75</w:t>
            </w:r>
          </w:p>
        </w:tc>
        <w:tc>
          <w:tcPr>
            <w:tcW w:w="360" w:type="dxa"/>
            <w:vAlign w:val="bottom"/>
            <w:gridSpan w:val="2"/>
          </w:tcPr>
          <w:p>
            <w:pPr>
              <w:jc w:val="right"/>
              <w:ind w:right="110"/>
              <w:spacing w:after="0" w:line="155" w:lineRule="exact"/>
              <w:rPr>
                <w:sz w:val="20"/>
                <w:szCs w:val="20"/>
                <w:color w:val="auto"/>
              </w:rPr>
            </w:pPr>
            <w:r>
              <w:rPr>
                <w:rFonts w:ascii="Arial" w:cs="Arial" w:eastAsia="Arial" w:hAnsi="Arial"/>
                <w:sz w:val="14"/>
                <w:szCs w:val="14"/>
                <w:color w:val="auto"/>
              </w:rPr>
              <w:t>$</w:t>
            </w:r>
          </w:p>
        </w:tc>
        <w:tc>
          <w:tcPr>
            <w:tcW w:w="920" w:type="dxa"/>
            <w:vAlign w:val="bottom"/>
          </w:tcPr>
          <w:p>
            <w:pPr>
              <w:jc w:val="right"/>
              <w:ind w:right="10"/>
              <w:spacing w:after="0" w:line="155" w:lineRule="exact"/>
              <w:rPr>
                <w:sz w:val="20"/>
                <w:szCs w:val="20"/>
                <w:color w:val="auto"/>
              </w:rPr>
            </w:pPr>
            <w:r>
              <w:rPr>
                <w:rFonts w:ascii="Arial" w:cs="Arial" w:eastAsia="Arial" w:hAnsi="Arial"/>
                <w:sz w:val="14"/>
                <w:szCs w:val="14"/>
                <w:color w:val="auto"/>
              </w:rPr>
              <w:t>0.67</w:t>
            </w:r>
          </w:p>
        </w:tc>
        <w:tc>
          <w:tcPr>
            <w:tcW w:w="0" w:type="dxa"/>
            <w:vAlign w:val="bottom"/>
          </w:tcPr>
          <w:p>
            <w:pPr>
              <w:spacing w:after="0"/>
              <w:rPr>
                <w:sz w:val="1"/>
                <w:szCs w:val="1"/>
                <w:color w:val="auto"/>
              </w:rPr>
            </w:pPr>
          </w:p>
        </w:tc>
      </w:tr>
      <w:tr>
        <w:trPr>
          <w:trHeight w:val="20"/>
        </w:trPr>
        <w:tc>
          <w:tcPr>
            <w:tcW w:w="1080" w:type="dxa"/>
            <w:vAlign w:val="bottom"/>
            <w:tcBorders>
              <w:bottom w:val="single" w:sz="8" w:color="CCEEFF"/>
            </w:tcBorders>
          </w:tcPr>
          <w:p>
            <w:pPr>
              <w:spacing w:after="0" w:line="20" w:lineRule="exact"/>
              <w:rPr>
                <w:sz w:val="1"/>
                <w:szCs w:val="1"/>
                <w:color w:val="auto"/>
              </w:rPr>
            </w:pPr>
          </w:p>
        </w:tc>
        <w:tc>
          <w:tcPr>
            <w:tcW w:w="7040" w:type="dxa"/>
            <w:vAlign w:val="bottom"/>
            <w:tcBorders>
              <w:bottom w:val="single" w:sz="8" w:color="CCEEFF"/>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bottom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4"/>
        </w:trPr>
        <w:tc>
          <w:tcPr>
            <w:tcW w:w="8120" w:type="dxa"/>
            <w:vAlign w:val="bottom"/>
            <w:gridSpan w:val="2"/>
            <w:shd w:val="clear" w:color="auto" w:fill="CCEEFF"/>
          </w:tcPr>
          <w:p>
            <w:pPr>
              <w:ind w:left="20"/>
              <w:spacing w:after="0" w:line="159" w:lineRule="exact"/>
              <w:rPr>
                <w:sz w:val="20"/>
                <w:szCs w:val="20"/>
                <w:color w:val="auto"/>
              </w:rPr>
            </w:pPr>
            <w:r>
              <w:rPr>
                <w:rFonts w:ascii="Arial" w:cs="Arial" w:eastAsia="Arial" w:hAnsi="Arial"/>
                <w:sz w:val="14"/>
                <w:szCs w:val="14"/>
                <w:color w:val="auto"/>
              </w:rPr>
              <w:t>Diluted net income per share</w:t>
            </w:r>
          </w:p>
        </w:tc>
        <w:tc>
          <w:tcPr>
            <w:tcW w:w="740" w:type="dxa"/>
            <w:vAlign w:val="bottom"/>
            <w:shd w:val="clear" w:color="auto" w:fill="CCEEFF"/>
          </w:tcPr>
          <w:p>
            <w:pPr>
              <w:jc w:val="right"/>
              <w:ind w:right="592"/>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0.75</w:t>
            </w:r>
          </w:p>
        </w:tc>
        <w:tc>
          <w:tcPr>
            <w:tcW w:w="360" w:type="dxa"/>
            <w:vAlign w:val="bottom"/>
            <w:gridSpan w:val="2"/>
            <w:shd w:val="clear" w:color="auto" w:fill="CCEEFF"/>
          </w:tcPr>
          <w:p>
            <w:pPr>
              <w:jc w:val="right"/>
              <w:ind w:right="110"/>
              <w:spacing w:after="0"/>
              <w:rPr>
                <w:sz w:val="20"/>
                <w:szCs w:val="20"/>
                <w:color w:val="auto"/>
              </w:rPr>
            </w:pPr>
            <w:r>
              <w:rPr>
                <w:rFonts w:ascii="Arial" w:cs="Arial" w:eastAsia="Arial" w:hAnsi="Arial"/>
                <w:sz w:val="14"/>
                <w:szCs w:val="14"/>
                <w:color w:val="auto"/>
              </w:rPr>
              <w:t>$</w:t>
            </w:r>
          </w:p>
        </w:tc>
        <w:tc>
          <w:tcPr>
            <w:tcW w:w="9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0.67</w:t>
            </w:r>
          </w:p>
        </w:tc>
        <w:tc>
          <w:tcPr>
            <w:tcW w:w="0" w:type="dxa"/>
            <w:vAlign w:val="bottom"/>
          </w:tcPr>
          <w:p>
            <w:pPr>
              <w:spacing w:after="0"/>
              <w:rPr>
                <w:sz w:val="1"/>
                <w:szCs w:val="1"/>
                <w:color w:val="auto"/>
              </w:rPr>
            </w:pPr>
          </w:p>
        </w:tc>
      </w:tr>
      <w:tr>
        <w:trPr>
          <w:trHeight w:val="20"/>
        </w:trPr>
        <w:tc>
          <w:tcPr>
            <w:tcW w:w="8120" w:type="dxa"/>
            <w:vAlign w:val="bottom"/>
            <w:tcBorders>
              <w:top w:val="single" w:sz="8" w:color="CCEEFF"/>
              <w:bottom w:val="single" w:sz="8" w:color="CCEEFF"/>
            </w:tcBorders>
            <w:gridSpan w:val="2"/>
            <w:vMerge w:val="restart"/>
          </w:tcPr>
          <w:p>
            <w:pPr>
              <w:ind w:left="20"/>
              <w:spacing w:after="0"/>
              <w:rPr>
                <w:sz w:val="20"/>
                <w:szCs w:val="20"/>
                <w:color w:val="auto"/>
              </w:rPr>
            </w:pPr>
            <w:r>
              <w:rPr>
                <w:rFonts w:ascii="Arial" w:cs="Arial" w:eastAsia="Arial" w:hAnsi="Arial"/>
                <w:sz w:val="14"/>
                <w:szCs w:val="14"/>
                <w:color w:val="auto"/>
              </w:rPr>
              <w:t>Weighted average shares used in computing basic net income per share</w:t>
            </w:r>
          </w:p>
        </w:tc>
        <w:tc>
          <w:tcPr>
            <w:tcW w:w="74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4"/>
        </w:trPr>
        <w:tc>
          <w:tcPr>
            <w:tcW w:w="8120" w:type="dxa"/>
            <w:vAlign w:val="bottom"/>
            <w:gridSpan w:val="2"/>
            <w:vMerge w:val="continue"/>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440" w:type="dxa"/>
            <w:vAlign w:val="bottom"/>
            <w:tcBorders>
              <w:bottom w:val="single" w:sz="8" w:color="auto"/>
            </w:tcBorders>
          </w:tcPr>
          <w:p>
            <w:pPr>
              <w:jc w:val="right"/>
              <w:spacing w:after="0" w:line="155" w:lineRule="exact"/>
              <w:rPr>
                <w:sz w:val="20"/>
                <w:szCs w:val="20"/>
                <w:color w:val="auto"/>
              </w:rPr>
            </w:pPr>
            <w:r>
              <w:rPr>
                <w:rFonts w:ascii="Arial" w:cs="Arial" w:eastAsia="Arial" w:hAnsi="Arial"/>
                <w:sz w:val="14"/>
                <w:szCs w:val="14"/>
                <w:color w:val="auto"/>
              </w:rPr>
              <w:t>215</w:t>
            </w:r>
          </w:p>
        </w:tc>
        <w:tc>
          <w:tcPr>
            <w:tcW w:w="80" w:type="dxa"/>
            <w:vAlign w:val="bottom"/>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20" w:type="dxa"/>
            <w:vAlign w:val="bottom"/>
            <w:tcBorders>
              <w:bottom w:val="single" w:sz="8" w:color="auto"/>
            </w:tcBorders>
          </w:tcPr>
          <w:p>
            <w:pPr>
              <w:jc w:val="right"/>
              <w:spacing w:after="0" w:line="155" w:lineRule="exact"/>
              <w:rPr>
                <w:sz w:val="20"/>
                <w:szCs w:val="20"/>
                <w:color w:val="auto"/>
              </w:rPr>
            </w:pPr>
            <w:r>
              <w:rPr>
                <w:rFonts w:ascii="Arial" w:cs="Arial" w:eastAsia="Arial" w:hAnsi="Arial"/>
                <w:sz w:val="14"/>
                <w:szCs w:val="14"/>
                <w:color w:val="auto"/>
              </w:rPr>
              <w:t>217</w:t>
            </w:r>
          </w:p>
        </w:tc>
        <w:tc>
          <w:tcPr>
            <w:tcW w:w="0" w:type="dxa"/>
            <w:vAlign w:val="bottom"/>
          </w:tcPr>
          <w:p>
            <w:pPr>
              <w:spacing w:after="0"/>
              <w:rPr>
                <w:sz w:val="1"/>
                <w:szCs w:val="1"/>
                <w:color w:val="auto"/>
              </w:rPr>
            </w:pPr>
          </w:p>
        </w:tc>
      </w:tr>
      <w:tr>
        <w:trPr>
          <w:trHeight w:val="20"/>
        </w:trPr>
        <w:tc>
          <w:tcPr>
            <w:tcW w:w="1080" w:type="dxa"/>
            <w:vAlign w:val="bottom"/>
            <w:tcBorders>
              <w:bottom w:val="single" w:sz="8" w:color="CCEEFF"/>
            </w:tcBorders>
          </w:tcPr>
          <w:p>
            <w:pPr>
              <w:spacing w:after="0" w:line="20" w:lineRule="exact"/>
              <w:rPr>
                <w:sz w:val="1"/>
                <w:szCs w:val="1"/>
                <w:color w:val="auto"/>
              </w:rPr>
            </w:pPr>
          </w:p>
        </w:tc>
        <w:tc>
          <w:tcPr>
            <w:tcW w:w="7040" w:type="dxa"/>
            <w:vAlign w:val="bottom"/>
            <w:tcBorders>
              <w:bottom w:val="single" w:sz="8" w:color="CCEEFF"/>
            </w:tcBorders>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CCEEFF"/>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9"/>
        </w:trPr>
        <w:tc>
          <w:tcPr>
            <w:tcW w:w="8120" w:type="dxa"/>
            <w:vAlign w:val="bottom"/>
            <w:tcBorders>
              <w:bottom w:val="single" w:sz="8" w:color="CCEEFF"/>
            </w:tcBorders>
            <w:gridSpan w:val="2"/>
            <w:shd w:val="clear" w:color="auto" w:fill="CCEEFF"/>
          </w:tcPr>
          <w:p>
            <w:pPr>
              <w:ind w:left="20"/>
              <w:spacing w:after="0" w:line="159" w:lineRule="exact"/>
              <w:rPr>
                <w:sz w:val="20"/>
                <w:szCs w:val="20"/>
                <w:color w:val="auto"/>
              </w:rPr>
            </w:pPr>
            <w:r>
              <w:rPr>
                <w:rFonts w:ascii="Arial" w:cs="Arial" w:eastAsia="Arial" w:hAnsi="Arial"/>
                <w:sz w:val="14"/>
                <w:szCs w:val="14"/>
                <w:color w:val="auto"/>
              </w:rPr>
              <w:t>Weighted average shares used in computing diluted net income per share</w:t>
            </w:r>
          </w:p>
        </w:tc>
        <w:tc>
          <w:tcPr>
            <w:tcW w:w="740" w:type="dxa"/>
            <w:vAlign w:val="bottom"/>
            <w:tcBorders>
              <w:bottom w:val="single" w:sz="8" w:color="auto"/>
            </w:tcBorders>
            <w:shd w:val="clear" w:color="auto" w:fill="CCEEFF"/>
          </w:tcPr>
          <w:p>
            <w:pPr>
              <w:spacing w:after="0"/>
              <w:rPr>
                <w:sz w:val="16"/>
                <w:szCs w:val="16"/>
                <w:color w:val="auto"/>
              </w:rPr>
            </w:pPr>
          </w:p>
        </w:tc>
        <w:tc>
          <w:tcPr>
            <w:tcW w:w="4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216</w:t>
            </w:r>
          </w:p>
        </w:tc>
        <w:tc>
          <w:tcPr>
            <w:tcW w:w="80" w:type="dxa"/>
            <w:vAlign w:val="bottom"/>
            <w:tcBorders>
              <w:bottom w:val="single" w:sz="8" w:color="CCEEFF"/>
            </w:tcBorders>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219</w:t>
            </w:r>
          </w:p>
        </w:tc>
        <w:tc>
          <w:tcPr>
            <w:tcW w:w="0" w:type="dxa"/>
            <w:vAlign w:val="bottom"/>
          </w:tcPr>
          <w:p>
            <w:pPr>
              <w:spacing w:after="0"/>
              <w:rPr>
                <w:sz w:val="1"/>
                <w:szCs w:val="1"/>
                <w:color w:val="auto"/>
              </w:rPr>
            </w:pPr>
          </w:p>
        </w:tc>
      </w:tr>
      <w:tr>
        <w:trPr>
          <w:trHeight w:val="20"/>
        </w:trPr>
        <w:tc>
          <w:tcPr>
            <w:tcW w:w="1080" w:type="dxa"/>
            <w:vAlign w:val="bottom"/>
            <w:tcBorders>
              <w:top w:val="single" w:sz="8" w:color="CCEEFF"/>
            </w:tcBorders>
          </w:tcPr>
          <w:p>
            <w:pPr>
              <w:spacing w:after="0" w:line="20" w:lineRule="exact"/>
              <w:rPr>
                <w:sz w:val="1"/>
                <w:szCs w:val="1"/>
                <w:color w:val="auto"/>
              </w:rPr>
            </w:pPr>
          </w:p>
        </w:tc>
        <w:tc>
          <w:tcPr>
            <w:tcW w:w="7040" w:type="dxa"/>
            <w:vAlign w:val="bottom"/>
            <w:tcBorders>
              <w:top w:val="single" w:sz="8" w:color="CCEEFF"/>
            </w:tcBorders>
          </w:tcPr>
          <w:p>
            <w:pPr>
              <w:spacing w:after="0" w:line="20" w:lineRule="exact"/>
              <w:rPr>
                <w:sz w:val="1"/>
                <w:szCs w:val="1"/>
                <w:color w:val="auto"/>
              </w:rPr>
            </w:pPr>
          </w:p>
        </w:tc>
        <w:tc>
          <w:tcPr>
            <w:tcW w:w="740" w:type="dxa"/>
            <w:vAlign w:val="bottom"/>
            <w:tcBorders>
              <w:top w:val="single" w:sz="8" w:color="CCEEFF"/>
              <w:bottom w:val="single" w:sz="8" w:color="auto"/>
            </w:tcBorders>
          </w:tcPr>
          <w:p>
            <w:pPr>
              <w:spacing w:after="0" w:line="20" w:lineRule="exact"/>
              <w:rPr>
                <w:sz w:val="1"/>
                <w:szCs w:val="1"/>
                <w:color w:val="auto"/>
              </w:rPr>
            </w:pPr>
          </w:p>
        </w:tc>
        <w:tc>
          <w:tcPr>
            <w:tcW w:w="440" w:type="dxa"/>
            <w:vAlign w:val="bottom"/>
            <w:tcBorders>
              <w:top w:val="single" w:sz="8" w:color="CCEEFF"/>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jc w:val="center"/>
        <w:ind w:right="40"/>
        <w:spacing w:after="0"/>
        <w:rPr>
          <w:sz w:val="20"/>
          <w:szCs w:val="20"/>
          <w:color w:val="auto"/>
        </w:rPr>
      </w:pPr>
      <w:r>
        <w:rPr>
          <w:rFonts w:ascii="Arial" w:cs="Arial" w:eastAsia="Arial" w:hAnsi="Arial"/>
          <w:sz w:val="15"/>
          <w:szCs w:val="15"/>
          <w:color w:val="auto"/>
        </w:rPr>
        <w:t>See accompanying Notes to Condensed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4" w:name="page5"/>
    <w:bookmarkEnd w:id="4"/>
    <w:p>
      <w:pPr>
        <w:jc w:val="center"/>
        <w:spacing w:after="0"/>
        <w:rPr>
          <w:sz w:val="20"/>
          <w:szCs w:val="20"/>
          <w:color w:val="auto"/>
        </w:rPr>
      </w:pPr>
      <w:r>
        <w:rPr>
          <w:rFonts w:ascii="Arial" w:cs="Arial" w:eastAsia="Arial" w:hAnsi="Arial"/>
          <w:sz w:val="15"/>
          <w:szCs w:val="15"/>
          <w:b w:val="1"/>
          <w:bCs w:val="1"/>
          <w:color w:val="auto"/>
        </w:rPr>
        <w:t>AUTODESK, INC.</w:t>
      </w:r>
    </w:p>
    <w:p>
      <w:pPr>
        <w:spacing w:after="0" w:line="21" w:lineRule="exact"/>
        <w:rPr>
          <w:sz w:val="20"/>
          <w:szCs w:val="20"/>
          <w:color w:val="auto"/>
        </w:rPr>
      </w:pPr>
    </w:p>
    <w:p>
      <w:pPr>
        <w:jc w:val="center"/>
        <w:spacing w:after="0"/>
        <w:rPr>
          <w:sz w:val="20"/>
          <w:szCs w:val="20"/>
          <w:color w:val="auto"/>
        </w:rPr>
      </w:pPr>
      <w:r>
        <w:rPr>
          <w:rFonts w:ascii="Arial" w:cs="Arial" w:eastAsia="Arial" w:hAnsi="Arial"/>
          <w:sz w:val="15"/>
          <w:szCs w:val="15"/>
          <w:b w:val="1"/>
          <w:bCs w:val="1"/>
          <w:color w:val="auto"/>
        </w:rPr>
        <w:t>CONDENSED CONSOLIDATED STATEMENTS OF COMPREHENSIVE INCOME</w:t>
      </w:r>
    </w:p>
    <w:p>
      <w:pPr>
        <w:spacing w:after="0" w:line="3" w:lineRule="exact"/>
        <w:rPr>
          <w:sz w:val="20"/>
          <w:szCs w:val="20"/>
          <w:color w:val="auto"/>
        </w:rPr>
      </w:pPr>
    </w:p>
    <w:p>
      <w:pPr>
        <w:ind w:left="4900"/>
        <w:spacing w:after="0"/>
        <w:rPr>
          <w:sz w:val="20"/>
          <w:szCs w:val="20"/>
          <w:color w:val="auto"/>
        </w:rPr>
      </w:pPr>
      <w:r>
        <w:rPr>
          <w:rFonts w:ascii="Arial" w:cs="Arial" w:eastAsia="Arial" w:hAnsi="Arial"/>
          <w:sz w:val="15"/>
          <w:szCs w:val="15"/>
          <w:color w:val="auto"/>
        </w:rPr>
        <w:t>(In millions)</w:t>
      </w:r>
    </w:p>
    <w:p>
      <w:pPr>
        <w:spacing w:after="0" w:line="3" w:lineRule="exact"/>
        <w:rPr>
          <w:sz w:val="20"/>
          <w:szCs w:val="20"/>
          <w:color w:val="auto"/>
        </w:rPr>
      </w:pPr>
    </w:p>
    <w:p>
      <w:pPr>
        <w:ind w:left="4880"/>
        <w:spacing w:after="0"/>
        <w:rPr>
          <w:sz w:val="20"/>
          <w:szCs w:val="20"/>
          <w:color w:val="auto"/>
        </w:rPr>
      </w:pPr>
      <w:r>
        <w:rPr>
          <w:rFonts w:ascii="Arial" w:cs="Arial" w:eastAsia="Arial" w:hAnsi="Arial"/>
          <w:sz w:val="15"/>
          <w:szCs w:val="15"/>
          <w:color w:val="auto"/>
        </w:rPr>
        <w:t>(Unaudited)</w:t>
      </w:r>
    </w:p>
    <w:p>
      <w:pPr>
        <w:spacing w:after="0" w:line="2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8080" w:type="dxa"/>
            <w:vAlign w:val="bottom"/>
          </w:tcPr>
          <w:p>
            <w:pPr>
              <w:spacing w:after="0"/>
              <w:rPr>
                <w:sz w:val="15"/>
                <w:szCs w:val="15"/>
                <w:color w:val="auto"/>
              </w:rPr>
            </w:pPr>
          </w:p>
        </w:tc>
        <w:tc>
          <w:tcPr>
            <w:tcW w:w="2180" w:type="dxa"/>
            <w:vAlign w:val="bottom"/>
            <w:tcBorders>
              <w:bottom w:val="single" w:sz="8" w:color="auto"/>
            </w:tcBorders>
            <w:gridSpan w:val="4"/>
          </w:tcPr>
          <w:p>
            <w:pPr>
              <w:jc w:val="right"/>
              <w:spacing w:after="0"/>
              <w:rPr>
                <w:sz w:val="20"/>
                <w:szCs w:val="20"/>
                <w:color w:val="auto"/>
              </w:rPr>
            </w:pPr>
            <w:r>
              <w:rPr>
                <w:rFonts w:ascii="Arial" w:cs="Arial" w:eastAsia="Arial" w:hAnsi="Arial"/>
                <w:sz w:val="13"/>
                <w:szCs w:val="13"/>
                <w:b w:val="1"/>
                <w:bCs w:val="1"/>
                <w:color w:val="auto"/>
              </w:rPr>
              <w:t>Three Months Ended April 30,</w:t>
            </w:r>
          </w:p>
        </w:tc>
        <w:tc>
          <w:tcPr>
            <w:tcW w:w="320" w:type="dxa"/>
            <w:vAlign w:val="bottom"/>
            <w:tcBorders>
              <w:bottom w:val="single" w:sz="8" w:color="auto"/>
            </w:tcBorders>
          </w:tcPr>
          <w:p>
            <w:pPr>
              <w:spacing w:after="0"/>
              <w:rPr>
                <w:sz w:val="15"/>
                <w:szCs w:val="15"/>
                <w:color w:val="auto"/>
              </w:rPr>
            </w:pPr>
          </w:p>
        </w:tc>
      </w:tr>
      <w:tr>
        <w:trPr>
          <w:trHeight w:val="167"/>
        </w:trPr>
        <w:tc>
          <w:tcPr>
            <w:tcW w:w="8080" w:type="dxa"/>
            <w:vAlign w:val="bottom"/>
            <w:tcBorders>
              <w:bottom w:val="single" w:sz="8" w:color="CCEEFF"/>
            </w:tcBorders>
          </w:tcPr>
          <w:p>
            <w:pPr>
              <w:spacing w:after="0"/>
              <w:rPr>
                <w:sz w:val="14"/>
                <w:szCs w:val="14"/>
                <w:color w:val="auto"/>
              </w:rPr>
            </w:pPr>
          </w:p>
        </w:tc>
        <w:tc>
          <w:tcPr>
            <w:tcW w:w="800" w:type="dxa"/>
            <w:vAlign w:val="bottom"/>
            <w:tcBorders>
              <w:bottom w:val="single" w:sz="8" w:color="auto"/>
            </w:tcBorders>
          </w:tcPr>
          <w:p>
            <w:pPr>
              <w:jc w:val="right"/>
              <w:ind w:right="13"/>
              <w:spacing w:after="0"/>
              <w:rPr>
                <w:sz w:val="20"/>
                <w:szCs w:val="20"/>
                <w:color w:val="auto"/>
              </w:rPr>
            </w:pPr>
            <w:r>
              <w:rPr>
                <w:rFonts w:ascii="Arial" w:cs="Arial" w:eastAsia="Arial" w:hAnsi="Arial"/>
                <w:sz w:val="13"/>
                <w:szCs w:val="13"/>
                <w:b w:val="1"/>
                <w:bCs w:val="1"/>
                <w:color w:val="auto"/>
              </w:rPr>
              <w:t>2023</w:t>
            </w:r>
          </w:p>
        </w:tc>
        <w:tc>
          <w:tcPr>
            <w:tcW w:w="360" w:type="dxa"/>
            <w:vAlign w:val="bottom"/>
            <w:tcBorders>
              <w:bottom w:val="single" w:sz="8" w:color="auto"/>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920" w:type="dxa"/>
            <w:vAlign w:val="bottom"/>
            <w:tcBorders>
              <w:bottom w:val="single" w:sz="8" w:color="auto"/>
            </w:tcBorders>
          </w:tcPr>
          <w:p>
            <w:pPr>
              <w:jc w:val="right"/>
              <w:ind w:right="96"/>
              <w:spacing w:after="0"/>
              <w:rPr>
                <w:sz w:val="20"/>
                <w:szCs w:val="20"/>
                <w:color w:val="auto"/>
              </w:rPr>
            </w:pPr>
            <w:r>
              <w:rPr>
                <w:rFonts w:ascii="Arial" w:cs="Arial" w:eastAsia="Arial" w:hAnsi="Arial"/>
                <w:sz w:val="13"/>
                <w:szCs w:val="13"/>
                <w:b w:val="1"/>
                <w:bCs w:val="1"/>
                <w:color w:val="auto"/>
              </w:rPr>
              <w:t>2022</w:t>
            </w:r>
          </w:p>
        </w:tc>
        <w:tc>
          <w:tcPr>
            <w:tcW w:w="320" w:type="dxa"/>
            <w:vAlign w:val="bottom"/>
            <w:tcBorders>
              <w:bottom w:val="single" w:sz="8" w:color="auto"/>
            </w:tcBorders>
          </w:tcPr>
          <w:p>
            <w:pPr>
              <w:spacing w:after="0"/>
              <w:rPr>
                <w:sz w:val="14"/>
                <w:szCs w:val="14"/>
                <w:color w:val="auto"/>
              </w:rPr>
            </w:pPr>
          </w:p>
        </w:tc>
      </w:tr>
      <w:tr>
        <w:trPr>
          <w:trHeight w:val="179"/>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income</w:t>
            </w:r>
          </w:p>
        </w:tc>
        <w:tc>
          <w:tcPr>
            <w:tcW w:w="800" w:type="dxa"/>
            <w:vAlign w:val="bottom"/>
            <w:shd w:val="clear" w:color="auto" w:fill="CCEEFF"/>
          </w:tcPr>
          <w:p>
            <w:pPr>
              <w:jc w:val="right"/>
              <w:ind w:right="653"/>
              <w:spacing w:after="0"/>
              <w:rPr>
                <w:sz w:val="20"/>
                <w:szCs w:val="20"/>
                <w:color w:val="auto"/>
              </w:rPr>
            </w:pPr>
            <w:r>
              <w:rPr>
                <w:rFonts w:ascii="Arial" w:cs="Arial" w:eastAsia="Arial" w:hAnsi="Arial"/>
                <w:sz w:val="14"/>
                <w:szCs w:val="14"/>
                <w:color w:val="auto"/>
                <w:w w:val="76"/>
              </w:rPr>
              <w:t>$</w:t>
            </w:r>
          </w:p>
        </w:tc>
        <w:tc>
          <w:tcPr>
            <w:tcW w:w="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161</w:t>
            </w:r>
          </w:p>
        </w:tc>
        <w:tc>
          <w:tcPr>
            <w:tcW w:w="1020" w:type="dxa"/>
            <w:vAlign w:val="bottom"/>
            <w:gridSpan w:val="2"/>
            <w:shd w:val="clear" w:color="auto" w:fill="CCEEFF"/>
          </w:tcPr>
          <w:p>
            <w:pPr>
              <w:jc w:val="right"/>
              <w:ind w:right="756"/>
              <w:spacing w:after="0"/>
              <w:rPr>
                <w:sz w:val="20"/>
                <w:szCs w:val="20"/>
                <w:color w:val="auto"/>
              </w:rPr>
            </w:pPr>
            <w:r>
              <w:rPr>
                <w:rFonts w:ascii="Arial" w:cs="Arial" w:eastAsia="Arial" w:hAnsi="Arial"/>
                <w:sz w:val="14"/>
                <w:szCs w:val="14"/>
                <w:color w:val="auto"/>
              </w:rPr>
              <w:t>$</w:t>
            </w:r>
          </w:p>
        </w:tc>
        <w:tc>
          <w:tcPr>
            <w:tcW w:w="3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146</w:t>
            </w:r>
          </w:p>
        </w:tc>
      </w:tr>
      <w:tr>
        <w:trPr>
          <w:trHeight w:val="185"/>
        </w:trPr>
        <w:tc>
          <w:tcPr>
            <w:tcW w:w="8080" w:type="dxa"/>
            <w:vAlign w:val="bottom"/>
          </w:tcPr>
          <w:p>
            <w:pPr>
              <w:ind w:left="20"/>
              <w:spacing w:after="0"/>
              <w:rPr>
                <w:sz w:val="20"/>
                <w:szCs w:val="20"/>
                <w:color w:val="auto"/>
              </w:rPr>
            </w:pPr>
            <w:r>
              <w:rPr>
                <w:rFonts w:ascii="Arial" w:cs="Arial" w:eastAsia="Arial" w:hAnsi="Arial"/>
                <w:sz w:val="14"/>
                <w:szCs w:val="14"/>
                <w:color w:val="auto"/>
              </w:rPr>
              <w:t>Other comprehensive loss, net of reclassifications:</w:t>
            </w:r>
          </w:p>
        </w:tc>
        <w:tc>
          <w:tcPr>
            <w:tcW w:w="80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20" w:type="dxa"/>
            <w:vAlign w:val="bottom"/>
          </w:tcPr>
          <w:p>
            <w:pPr>
              <w:spacing w:after="0"/>
              <w:rPr>
                <w:sz w:val="16"/>
                <w:szCs w:val="16"/>
                <w:color w:val="auto"/>
              </w:rPr>
            </w:pPr>
          </w:p>
        </w:tc>
      </w:tr>
      <w:tr>
        <w:trPr>
          <w:trHeight w:val="190"/>
        </w:trPr>
        <w:tc>
          <w:tcPr>
            <w:tcW w:w="8080" w:type="dxa"/>
            <w:vAlign w:val="bottom"/>
            <w:shd w:val="clear" w:color="auto" w:fill="CCEEFF"/>
          </w:tcPr>
          <w:p>
            <w:pPr>
              <w:ind w:left="200"/>
              <w:spacing w:after="0"/>
              <w:rPr>
                <w:sz w:val="20"/>
                <w:szCs w:val="20"/>
                <w:color w:val="auto"/>
              </w:rPr>
            </w:pPr>
            <w:r>
              <w:rPr>
                <w:rFonts w:ascii="Arial" w:cs="Arial" w:eastAsia="Arial" w:hAnsi="Arial"/>
                <w:sz w:val="14"/>
                <w:szCs w:val="14"/>
                <w:color w:val="auto"/>
              </w:rPr>
              <w:t>Net (loss) gain on derivative instruments (net of tax effect of $2 and $(8), respectively)</w:t>
            </w:r>
          </w:p>
        </w:tc>
        <w:tc>
          <w:tcPr>
            <w:tcW w:w="800" w:type="dxa"/>
            <w:vAlign w:val="bottom"/>
            <w:shd w:val="clear" w:color="auto" w:fill="CCEEFF"/>
          </w:tcPr>
          <w:p>
            <w:pPr>
              <w:spacing w:after="0"/>
              <w:rPr>
                <w:sz w:val="16"/>
                <w:szCs w:val="16"/>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w:t>
            </w:r>
          </w:p>
        </w:tc>
        <w:tc>
          <w:tcPr>
            <w:tcW w:w="100" w:type="dxa"/>
            <w:vAlign w:val="bottom"/>
            <w:shd w:val="clear" w:color="auto" w:fill="CCEEFF"/>
          </w:tcPr>
          <w:p>
            <w:pPr>
              <w:spacing w:after="0"/>
              <w:rPr>
                <w:sz w:val="16"/>
                <w:szCs w:val="16"/>
                <w:color w:val="auto"/>
              </w:rPr>
            </w:pPr>
          </w:p>
        </w:tc>
        <w:tc>
          <w:tcPr>
            <w:tcW w:w="920" w:type="dxa"/>
            <w:vAlign w:val="bottom"/>
            <w:shd w:val="clear" w:color="auto" w:fill="CCEEFF"/>
          </w:tcPr>
          <w:p>
            <w:pPr>
              <w:spacing w:after="0"/>
              <w:rPr>
                <w:sz w:val="16"/>
                <w:szCs w:val="16"/>
                <w:color w:val="auto"/>
              </w:rPr>
            </w:pPr>
          </w:p>
        </w:tc>
        <w:tc>
          <w:tcPr>
            <w:tcW w:w="3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55</w:t>
            </w:r>
          </w:p>
        </w:tc>
      </w:tr>
      <w:tr>
        <w:trPr>
          <w:trHeight w:val="185"/>
        </w:trPr>
        <w:tc>
          <w:tcPr>
            <w:tcW w:w="8080" w:type="dxa"/>
            <w:vAlign w:val="bottom"/>
          </w:tcPr>
          <w:p>
            <w:pPr>
              <w:ind w:left="200"/>
              <w:spacing w:after="0"/>
              <w:rPr>
                <w:sz w:val="20"/>
                <w:szCs w:val="20"/>
                <w:color w:val="auto"/>
              </w:rPr>
            </w:pPr>
            <w:r>
              <w:rPr>
                <w:rFonts w:ascii="Arial" w:cs="Arial" w:eastAsia="Arial" w:hAnsi="Arial"/>
                <w:sz w:val="14"/>
                <w:szCs w:val="14"/>
                <w:color w:val="auto"/>
              </w:rPr>
              <w:t>Change in net unrealized gain (loss) on available-for-sale debt securities (net of tax effect of zero for all periods presented)</w:t>
            </w:r>
          </w:p>
        </w:tc>
        <w:tc>
          <w:tcPr>
            <w:tcW w:w="80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20" w:type="dxa"/>
            <w:vAlign w:val="bottom"/>
          </w:tcPr>
          <w:p>
            <w:pPr>
              <w:jc w:val="right"/>
              <w:spacing w:after="0"/>
              <w:rPr>
                <w:sz w:val="20"/>
                <w:szCs w:val="20"/>
                <w:color w:val="auto"/>
              </w:rPr>
            </w:pPr>
            <w:r>
              <w:rPr>
                <w:rFonts w:ascii="Arial" w:cs="Arial" w:eastAsia="Arial" w:hAnsi="Arial"/>
                <w:sz w:val="14"/>
                <w:szCs w:val="14"/>
                <w:color w:val="auto"/>
              </w:rPr>
              <w:t>(1)</w:t>
            </w:r>
          </w:p>
        </w:tc>
      </w:tr>
      <w:tr>
        <w:trPr>
          <w:trHeight w:val="190"/>
        </w:trPr>
        <w:tc>
          <w:tcPr>
            <w:tcW w:w="8080" w:type="dxa"/>
            <w:vAlign w:val="bottom"/>
            <w:shd w:val="clear" w:color="auto" w:fill="CCEEFF"/>
          </w:tcPr>
          <w:p>
            <w:pPr>
              <w:ind w:left="200"/>
              <w:spacing w:after="0"/>
              <w:rPr>
                <w:sz w:val="20"/>
                <w:szCs w:val="20"/>
                <w:color w:val="auto"/>
              </w:rPr>
            </w:pPr>
            <w:r>
              <w:rPr>
                <w:rFonts w:ascii="Arial" w:cs="Arial" w:eastAsia="Arial" w:hAnsi="Arial"/>
                <w:sz w:val="14"/>
                <w:szCs w:val="14"/>
                <w:color w:val="auto"/>
              </w:rPr>
              <w:t>Change in defined benefit pension items (net of tax effect of zero for all periods presented)</w:t>
            </w:r>
          </w:p>
        </w:tc>
        <w:tc>
          <w:tcPr>
            <w:tcW w:w="800" w:type="dxa"/>
            <w:vAlign w:val="bottom"/>
            <w:shd w:val="clear" w:color="auto" w:fill="CCEEFF"/>
          </w:tcPr>
          <w:p>
            <w:pPr>
              <w:spacing w:after="0"/>
              <w:rPr>
                <w:sz w:val="16"/>
                <w:szCs w:val="16"/>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920" w:type="dxa"/>
            <w:vAlign w:val="bottom"/>
            <w:shd w:val="clear" w:color="auto" w:fill="CCEEFF"/>
          </w:tcPr>
          <w:p>
            <w:pPr>
              <w:spacing w:after="0"/>
              <w:rPr>
                <w:sz w:val="16"/>
                <w:szCs w:val="16"/>
                <w:color w:val="auto"/>
              </w:rPr>
            </w:pPr>
          </w:p>
        </w:tc>
        <w:tc>
          <w:tcPr>
            <w:tcW w:w="3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w:t>
            </w:r>
          </w:p>
        </w:tc>
      </w:tr>
      <w:tr>
        <w:trPr>
          <w:trHeight w:val="185"/>
        </w:trPr>
        <w:tc>
          <w:tcPr>
            <w:tcW w:w="8080" w:type="dxa"/>
            <w:vAlign w:val="bottom"/>
            <w:tcBorders>
              <w:bottom w:val="single" w:sz="8" w:color="CCEEFF"/>
            </w:tcBorders>
          </w:tcPr>
          <w:p>
            <w:pPr>
              <w:ind w:left="200"/>
              <w:spacing w:after="0"/>
              <w:rPr>
                <w:sz w:val="20"/>
                <w:szCs w:val="20"/>
                <w:color w:val="auto"/>
              </w:rPr>
            </w:pPr>
            <w:r>
              <w:rPr>
                <w:rFonts w:ascii="Arial" w:cs="Arial" w:eastAsia="Arial" w:hAnsi="Arial"/>
                <w:sz w:val="14"/>
                <w:szCs w:val="14"/>
                <w:color w:val="auto"/>
              </w:rPr>
              <w:t>Net change in cumulative foreign currency translation loss (net of tax effect of $5 and zero respectively)</w:t>
            </w:r>
          </w:p>
        </w:tc>
        <w:tc>
          <w:tcPr>
            <w:tcW w:w="80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w:t>
            </w:r>
          </w:p>
        </w:tc>
        <w:tc>
          <w:tcPr>
            <w:tcW w:w="100" w:type="dxa"/>
            <w:vAlign w:val="bottom"/>
            <w:tcBorders>
              <w:bottom w:val="single" w:sz="8" w:color="CCEEFF"/>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3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(75)</w:t>
            </w:r>
          </w:p>
        </w:tc>
      </w:tr>
      <w:tr>
        <w:trPr>
          <w:trHeight w:val="179"/>
        </w:trPr>
        <w:tc>
          <w:tcPr>
            <w:tcW w:w="8080" w:type="dxa"/>
            <w:vAlign w:val="bottom"/>
            <w:shd w:val="clear" w:color="auto" w:fill="CCEEFF"/>
          </w:tcPr>
          <w:p>
            <w:pPr>
              <w:ind w:left="200"/>
              <w:spacing w:after="0"/>
              <w:rPr>
                <w:sz w:val="20"/>
                <w:szCs w:val="20"/>
                <w:color w:val="auto"/>
              </w:rPr>
            </w:pPr>
            <w:r>
              <w:rPr>
                <w:rFonts w:ascii="Arial" w:cs="Arial" w:eastAsia="Arial" w:hAnsi="Arial"/>
                <w:sz w:val="14"/>
                <w:szCs w:val="14"/>
                <w:color w:val="auto"/>
              </w:rPr>
              <w:t>Total other comprehensive loss</w:t>
            </w:r>
          </w:p>
        </w:tc>
        <w:tc>
          <w:tcPr>
            <w:tcW w:w="800" w:type="dxa"/>
            <w:vAlign w:val="bottom"/>
            <w:tcBorders>
              <w:bottom w:val="single" w:sz="8" w:color="auto"/>
            </w:tcBorders>
            <w:shd w:val="clear" w:color="auto" w:fill="CCEEFF"/>
          </w:tcPr>
          <w:p>
            <w:pPr>
              <w:spacing w:after="0"/>
              <w:rPr>
                <w:sz w:val="15"/>
                <w:szCs w:val="15"/>
                <w:color w:val="auto"/>
              </w:rPr>
            </w:pPr>
          </w:p>
        </w:tc>
        <w:tc>
          <w:tcPr>
            <w:tcW w:w="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(15)</w:t>
            </w:r>
          </w:p>
        </w:tc>
        <w:tc>
          <w:tcPr>
            <w:tcW w:w="100" w:type="dxa"/>
            <w:vAlign w:val="bottom"/>
            <w:shd w:val="clear" w:color="auto" w:fill="CCEEFF"/>
          </w:tcPr>
          <w:p>
            <w:pPr>
              <w:spacing w:after="0"/>
              <w:rPr>
                <w:sz w:val="15"/>
                <w:szCs w:val="15"/>
                <w:color w:val="auto"/>
              </w:rPr>
            </w:pPr>
          </w:p>
        </w:tc>
        <w:tc>
          <w:tcPr>
            <w:tcW w:w="920" w:type="dxa"/>
            <w:vAlign w:val="bottom"/>
            <w:tcBorders>
              <w:bottom w:val="single" w:sz="8" w:color="auto"/>
            </w:tcBorders>
            <w:shd w:val="clear" w:color="auto" w:fill="CCEEFF"/>
          </w:tcPr>
          <w:p>
            <w:pPr>
              <w:spacing w:after="0"/>
              <w:rPr>
                <w:sz w:val="15"/>
                <w:szCs w:val="15"/>
                <w:color w:val="auto"/>
              </w:rPr>
            </w:pPr>
          </w:p>
        </w:tc>
        <w:tc>
          <w:tcPr>
            <w:tcW w:w="3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(24)</w:t>
            </w:r>
          </w:p>
        </w:tc>
      </w:tr>
      <w:tr>
        <w:trPr>
          <w:trHeight w:val="182"/>
        </w:trPr>
        <w:tc>
          <w:tcPr>
            <w:tcW w:w="8080" w:type="dxa"/>
            <w:vAlign w:val="bottom"/>
          </w:tcPr>
          <w:p>
            <w:pPr>
              <w:ind w:left="20"/>
              <w:spacing w:after="0"/>
              <w:rPr>
                <w:sz w:val="20"/>
                <w:szCs w:val="20"/>
                <w:color w:val="auto"/>
              </w:rPr>
            </w:pPr>
            <w:r>
              <w:rPr>
                <w:rFonts w:ascii="Arial" w:cs="Arial" w:eastAsia="Arial" w:hAnsi="Arial"/>
                <w:sz w:val="14"/>
                <w:szCs w:val="14"/>
                <w:color w:val="auto"/>
              </w:rPr>
              <w:t>Total comprehensive income</w:t>
            </w:r>
          </w:p>
        </w:tc>
        <w:tc>
          <w:tcPr>
            <w:tcW w:w="800" w:type="dxa"/>
            <w:vAlign w:val="bottom"/>
          </w:tcPr>
          <w:p>
            <w:pPr>
              <w:jc w:val="right"/>
              <w:ind w:right="653"/>
              <w:spacing w:after="0"/>
              <w:rPr>
                <w:sz w:val="20"/>
                <w:szCs w:val="20"/>
                <w:color w:val="auto"/>
              </w:rPr>
            </w:pPr>
            <w:r>
              <w:rPr>
                <w:rFonts w:ascii="Arial" w:cs="Arial" w:eastAsia="Arial" w:hAnsi="Arial"/>
                <w:sz w:val="14"/>
                <w:szCs w:val="14"/>
                <w:color w:val="auto"/>
                <w:w w:val="76"/>
              </w:rPr>
              <w:t>$</w:t>
            </w:r>
          </w:p>
        </w:tc>
        <w:tc>
          <w:tcPr>
            <w:tcW w:w="360" w:type="dxa"/>
            <w:vAlign w:val="bottom"/>
          </w:tcPr>
          <w:p>
            <w:pPr>
              <w:jc w:val="right"/>
              <w:spacing w:after="0"/>
              <w:rPr>
                <w:sz w:val="20"/>
                <w:szCs w:val="20"/>
                <w:color w:val="auto"/>
              </w:rPr>
            </w:pPr>
            <w:r>
              <w:rPr>
                <w:rFonts w:ascii="Arial" w:cs="Arial" w:eastAsia="Arial" w:hAnsi="Arial"/>
                <w:sz w:val="14"/>
                <w:szCs w:val="14"/>
                <w:color w:val="auto"/>
              </w:rPr>
              <w:t>146</w:t>
            </w:r>
          </w:p>
        </w:tc>
        <w:tc>
          <w:tcPr>
            <w:tcW w:w="1020" w:type="dxa"/>
            <w:vAlign w:val="bottom"/>
            <w:gridSpan w:val="2"/>
          </w:tcPr>
          <w:p>
            <w:pPr>
              <w:jc w:val="right"/>
              <w:ind w:right="756"/>
              <w:spacing w:after="0"/>
              <w:rPr>
                <w:sz w:val="20"/>
                <w:szCs w:val="20"/>
                <w:color w:val="auto"/>
              </w:rPr>
            </w:pPr>
            <w:r>
              <w:rPr>
                <w:rFonts w:ascii="Arial" w:cs="Arial" w:eastAsia="Arial" w:hAnsi="Arial"/>
                <w:sz w:val="14"/>
                <w:szCs w:val="14"/>
                <w:color w:val="auto"/>
              </w:rPr>
              <w:t>$</w:t>
            </w:r>
          </w:p>
        </w:tc>
        <w:tc>
          <w:tcPr>
            <w:tcW w:w="320" w:type="dxa"/>
            <w:vAlign w:val="bottom"/>
          </w:tcPr>
          <w:p>
            <w:pPr>
              <w:jc w:val="right"/>
              <w:spacing w:after="0"/>
              <w:rPr>
                <w:sz w:val="20"/>
                <w:szCs w:val="20"/>
                <w:color w:val="auto"/>
              </w:rPr>
            </w:pPr>
            <w:r>
              <w:rPr>
                <w:rFonts w:ascii="Arial" w:cs="Arial" w:eastAsia="Arial" w:hAnsi="Arial"/>
                <w:sz w:val="14"/>
                <w:szCs w:val="14"/>
                <w:color w:val="auto"/>
              </w:rPr>
              <w:t>122</w:t>
            </w:r>
          </w:p>
        </w:tc>
      </w:tr>
      <w:tr>
        <w:trPr>
          <w:trHeight w:val="20"/>
        </w:trPr>
        <w:tc>
          <w:tcPr>
            <w:tcW w:w="808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r>
    </w:tbl>
    <w:p>
      <w:pPr>
        <w:spacing w:after="0" w:line="286" w:lineRule="exact"/>
        <w:rPr>
          <w:sz w:val="20"/>
          <w:szCs w:val="20"/>
          <w:color w:val="auto"/>
        </w:rPr>
      </w:pPr>
    </w:p>
    <w:p>
      <w:pPr>
        <w:jc w:val="center"/>
        <w:ind w:right="40"/>
        <w:spacing w:after="0"/>
        <w:rPr>
          <w:sz w:val="20"/>
          <w:szCs w:val="20"/>
          <w:color w:val="auto"/>
        </w:rPr>
      </w:pPr>
      <w:r>
        <w:rPr>
          <w:rFonts w:ascii="Arial" w:cs="Arial" w:eastAsia="Arial" w:hAnsi="Arial"/>
          <w:sz w:val="15"/>
          <w:szCs w:val="15"/>
          <w:color w:val="auto"/>
        </w:rPr>
        <w:t>See accompanying Notes to Condensed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5" w:name="page6"/>
    <w:bookmarkEnd w:id="5"/>
    <w:p>
      <w:pPr>
        <w:jc w:val="center"/>
        <w:ind w:right="-39"/>
        <w:spacing w:after="0"/>
        <w:rPr>
          <w:sz w:val="20"/>
          <w:szCs w:val="20"/>
          <w:color w:val="auto"/>
        </w:rPr>
      </w:pPr>
      <w:r>
        <w:rPr>
          <w:rFonts w:ascii="Arial" w:cs="Arial" w:eastAsia="Arial" w:hAnsi="Arial"/>
          <w:sz w:val="15"/>
          <w:szCs w:val="15"/>
          <w:b w:val="1"/>
          <w:bCs w:val="1"/>
          <w:color w:val="auto"/>
        </w:rPr>
        <w:t>AUTODESK, INC.</w:t>
      </w:r>
    </w:p>
    <w:p>
      <w:pPr>
        <w:spacing w:after="0" w:line="21" w:lineRule="exact"/>
        <w:rPr>
          <w:sz w:val="20"/>
          <w:szCs w:val="20"/>
          <w:color w:val="auto"/>
        </w:rPr>
      </w:pPr>
    </w:p>
    <w:p>
      <w:pPr>
        <w:jc w:val="center"/>
        <w:ind w:right="-19"/>
        <w:spacing w:after="0"/>
        <w:rPr>
          <w:sz w:val="20"/>
          <w:szCs w:val="20"/>
          <w:color w:val="auto"/>
        </w:rPr>
      </w:pPr>
      <w:r>
        <w:rPr>
          <w:rFonts w:ascii="Arial" w:cs="Arial" w:eastAsia="Arial" w:hAnsi="Arial"/>
          <w:sz w:val="15"/>
          <w:szCs w:val="15"/>
          <w:b w:val="1"/>
          <w:bCs w:val="1"/>
          <w:color w:val="auto"/>
        </w:rPr>
        <w:t>CONDENSED CONSOLIDATED BALANCE SHEETS</w:t>
      </w:r>
    </w:p>
    <w:p>
      <w:pPr>
        <w:spacing w:after="0" w:line="3" w:lineRule="exact"/>
        <w:rPr>
          <w:sz w:val="20"/>
          <w:szCs w:val="20"/>
          <w:color w:val="auto"/>
        </w:rPr>
      </w:pPr>
    </w:p>
    <w:p>
      <w:pPr>
        <w:ind w:left="4900"/>
        <w:spacing w:after="0"/>
        <w:rPr>
          <w:sz w:val="20"/>
          <w:szCs w:val="20"/>
          <w:color w:val="auto"/>
        </w:rPr>
      </w:pPr>
      <w:r>
        <w:rPr>
          <w:rFonts w:ascii="Arial" w:cs="Arial" w:eastAsia="Arial" w:hAnsi="Arial"/>
          <w:sz w:val="15"/>
          <w:szCs w:val="15"/>
          <w:color w:val="auto"/>
        </w:rPr>
        <w:t>(In millions)</w:t>
      </w:r>
    </w:p>
    <w:p>
      <w:pPr>
        <w:spacing w:after="0" w:line="3" w:lineRule="exact"/>
        <w:rPr>
          <w:sz w:val="20"/>
          <w:szCs w:val="20"/>
          <w:color w:val="auto"/>
        </w:rPr>
      </w:pPr>
    </w:p>
    <w:p>
      <w:pPr>
        <w:ind w:left="4880"/>
        <w:spacing w:after="0"/>
        <w:rPr>
          <w:sz w:val="20"/>
          <w:szCs w:val="20"/>
          <w:color w:val="auto"/>
        </w:rPr>
      </w:pPr>
      <w:r>
        <w:rPr>
          <w:rFonts w:ascii="Arial" w:cs="Arial" w:eastAsia="Arial" w:hAnsi="Arial"/>
          <w:sz w:val="15"/>
          <w:szCs w:val="15"/>
          <w:color w:val="auto"/>
        </w:rPr>
        <w:t>(Unaudited)</w:t>
      </w:r>
    </w:p>
    <w:p>
      <w:pPr>
        <w:spacing w:after="0" w:line="254"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640" w:type="dxa"/>
            <w:vAlign w:val="bottom"/>
            <w:tcBorders>
              <w:bottom w:val="single" w:sz="8" w:color="CCEEFF"/>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160" w:type="dxa"/>
            <w:vAlign w:val="bottom"/>
            <w:tcBorders>
              <w:bottom w:val="single" w:sz="8" w:color="auto"/>
            </w:tcBorders>
          </w:tcPr>
          <w:p>
            <w:pPr>
              <w:jc w:val="right"/>
              <w:ind w:right="170"/>
              <w:spacing w:after="0"/>
              <w:rPr>
                <w:sz w:val="20"/>
                <w:szCs w:val="20"/>
                <w:color w:val="auto"/>
              </w:rPr>
            </w:pPr>
            <w:r>
              <w:rPr>
                <w:rFonts w:ascii="Arial" w:cs="Arial" w:eastAsia="Arial" w:hAnsi="Arial"/>
                <w:sz w:val="13"/>
                <w:szCs w:val="13"/>
                <w:b w:val="1"/>
                <w:bCs w:val="1"/>
                <w:color w:val="auto"/>
              </w:rPr>
              <w:t>April 30, 2023</w:t>
            </w:r>
          </w:p>
        </w:tc>
        <w:tc>
          <w:tcPr>
            <w:tcW w:w="14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80" w:type="dxa"/>
            <w:vAlign w:val="bottom"/>
            <w:tcBorders>
              <w:bottom w:val="single" w:sz="8" w:color="auto"/>
            </w:tcBorders>
          </w:tcPr>
          <w:p>
            <w:pPr>
              <w:jc w:val="right"/>
              <w:ind w:right="130"/>
              <w:spacing w:after="0"/>
              <w:rPr>
                <w:sz w:val="20"/>
                <w:szCs w:val="20"/>
                <w:color w:val="auto"/>
              </w:rPr>
            </w:pPr>
            <w:r>
              <w:rPr>
                <w:rFonts w:ascii="Arial" w:cs="Arial" w:eastAsia="Arial" w:hAnsi="Arial"/>
                <w:sz w:val="13"/>
                <w:szCs w:val="13"/>
                <w:b w:val="1"/>
                <w:bCs w:val="1"/>
                <w:color w:val="auto"/>
              </w:rPr>
              <w:t>January 31, 2023</w:t>
            </w:r>
          </w:p>
        </w:tc>
        <w:tc>
          <w:tcPr>
            <w:tcW w:w="0" w:type="dxa"/>
            <w:vAlign w:val="bottom"/>
          </w:tcPr>
          <w:p>
            <w:pPr>
              <w:spacing w:after="0"/>
              <w:rPr>
                <w:sz w:val="1"/>
                <w:szCs w:val="1"/>
                <w:color w:val="auto"/>
              </w:rPr>
            </w:pPr>
          </w:p>
        </w:tc>
      </w:tr>
      <w:tr>
        <w:trPr>
          <w:trHeight w:val="167"/>
        </w:trPr>
        <w:tc>
          <w:tcPr>
            <w:tcW w:w="7640" w:type="dxa"/>
            <w:vAlign w:val="bottom"/>
            <w:shd w:val="clear" w:color="auto" w:fill="CCEEFF"/>
          </w:tcPr>
          <w:p>
            <w:pPr>
              <w:ind w:left="3540"/>
              <w:spacing w:after="0"/>
              <w:rPr>
                <w:sz w:val="20"/>
                <w:szCs w:val="20"/>
                <w:color w:val="auto"/>
              </w:rPr>
            </w:pPr>
            <w:r>
              <w:rPr>
                <w:rFonts w:ascii="Arial" w:cs="Arial" w:eastAsia="Arial" w:hAnsi="Arial"/>
                <w:sz w:val="14"/>
                <w:szCs w:val="14"/>
                <w:b w:val="1"/>
                <w:bCs w:val="1"/>
                <w:color w:val="auto"/>
              </w:rPr>
              <w:t>ASSETS</w:t>
            </w:r>
          </w:p>
        </w:tc>
        <w:tc>
          <w:tcPr>
            <w:tcW w:w="180" w:type="dxa"/>
            <w:vAlign w:val="bottom"/>
            <w:shd w:val="clear" w:color="auto" w:fill="CCEEFF"/>
          </w:tcPr>
          <w:p>
            <w:pPr>
              <w:spacing w:after="0"/>
              <w:rPr>
                <w:sz w:val="14"/>
                <w:szCs w:val="14"/>
                <w:color w:val="auto"/>
              </w:rPr>
            </w:pPr>
          </w:p>
        </w:tc>
        <w:tc>
          <w:tcPr>
            <w:tcW w:w="116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28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Current assets:</w:t>
            </w:r>
          </w:p>
        </w:tc>
        <w:tc>
          <w:tcPr>
            <w:tcW w:w="180" w:type="dxa"/>
            <w:vAlign w:val="bottom"/>
          </w:tcPr>
          <w:p>
            <w:pPr>
              <w:spacing w:after="0"/>
              <w:rPr>
                <w:sz w:val="16"/>
                <w:szCs w:val="16"/>
                <w:color w:val="auto"/>
              </w:rPr>
            </w:pPr>
          </w:p>
        </w:tc>
        <w:tc>
          <w:tcPr>
            <w:tcW w:w="11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Cash and cash equivalents</w:t>
            </w:r>
          </w:p>
        </w:tc>
        <w:tc>
          <w:tcPr>
            <w:tcW w:w="1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w:t>
            </w: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1,909</w:t>
            </w:r>
          </w:p>
        </w:tc>
        <w:tc>
          <w:tcPr>
            <w:tcW w:w="28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1,947</w:t>
            </w:r>
          </w:p>
        </w:tc>
        <w:tc>
          <w:tcPr>
            <w:tcW w:w="0" w:type="dxa"/>
            <w:vAlign w:val="bottom"/>
          </w:tcPr>
          <w:p>
            <w:pPr>
              <w:spacing w:after="0"/>
              <w:rPr>
                <w:sz w:val="1"/>
                <w:szCs w:val="1"/>
                <w:color w:val="auto"/>
              </w:rPr>
            </w:pPr>
          </w:p>
        </w:tc>
      </w:tr>
      <w:tr>
        <w:trPr>
          <w:trHeight w:val="185"/>
        </w:trPr>
        <w:tc>
          <w:tcPr>
            <w:tcW w:w="7640" w:type="dxa"/>
            <w:vAlign w:val="bottom"/>
          </w:tcPr>
          <w:p>
            <w:pPr>
              <w:ind w:left="300"/>
              <w:spacing w:after="0"/>
              <w:rPr>
                <w:sz w:val="20"/>
                <w:szCs w:val="20"/>
                <w:color w:val="auto"/>
              </w:rPr>
            </w:pPr>
            <w:r>
              <w:rPr>
                <w:rFonts w:ascii="Arial" w:cs="Arial" w:eastAsia="Arial" w:hAnsi="Arial"/>
                <w:sz w:val="14"/>
                <w:szCs w:val="14"/>
                <w:color w:val="auto"/>
              </w:rPr>
              <w:t>Marketable securities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222</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125</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Accounts receivable, net</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331</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961</w:t>
            </w:r>
          </w:p>
        </w:tc>
        <w:tc>
          <w:tcPr>
            <w:tcW w:w="0" w:type="dxa"/>
            <w:vAlign w:val="bottom"/>
          </w:tcPr>
          <w:p>
            <w:pPr>
              <w:spacing w:after="0"/>
              <w:rPr>
                <w:sz w:val="1"/>
                <w:szCs w:val="1"/>
                <w:color w:val="auto"/>
              </w:rPr>
            </w:pPr>
          </w:p>
        </w:tc>
      </w:tr>
      <w:tr>
        <w:trPr>
          <w:trHeight w:val="185"/>
        </w:trPr>
        <w:tc>
          <w:tcPr>
            <w:tcW w:w="764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Prepaid expenses and other current assets</w:t>
            </w:r>
          </w:p>
        </w:tc>
        <w:tc>
          <w:tcPr>
            <w:tcW w:w="180" w:type="dxa"/>
            <w:vAlign w:val="bottom"/>
            <w:tcBorders>
              <w:bottom w:val="single" w:sz="8" w:color="auto"/>
            </w:tcBorders>
          </w:tcPr>
          <w:p>
            <w:pPr>
              <w:spacing w:after="0"/>
              <w:rPr>
                <w:sz w:val="16"/>
                <w:szCs w:val="16"/>
                <w:color w:val="auto"/>
              </w:rPr>
            </w:pPr>
          </w:p>
        </w:tc>
        <w:tc>
          <w:tcPr>
            <w:tcW w:w="11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371</w:t>
            </w:r>
          </w:p>
        </w:tc>
        <w:tc>
          <w:tcPr>
            <w:tcW w:w="14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308</w:t>
            </w:r>
          </w:p>
        </w:tc>
        <w:tc>
          <w:tcPr>
            <w:tcW w:w="0" w:type="dxa"/>
            <w:vAlign w:val="bottom"/>
          </w:tcPr>
          <w:p>
            <w:pPr>
              <w:spacing w:after="0"/>
              <w:rPr>
                <w:sz w:val="1"/>
                <w:szCs w:val="1"/>
                <w:color w:val="auto"/>
              </w:rPr>
            </w:pPr>
          </w:p>
        </w:tc>
      </w:tr>
      <w:tr>
        <w:trPr>
          <w:trHeight w:val="182"/>
        </w:trPr>
        <w:tc>
          <w:tcPr>
            <w:tcW w:w="7640" w:type="dxa"/>
            <w:vAlign w:val="bottom"/>
            <w:shd w:val="clear" w:color="auto" w:fill="CCEEFF"/>
          </w:tcPr>
          <w:p>
            <w:pPr>
              <w:ind w:left="480"/>
              <w:spacing w:after="0"/>
              <w:rPr>
                <w:sz w:val="20"/>
                <w:szCs w:val="20"/>
                <w:color w:val="auto"/>
              </w:rPr>
            </w:pPr>
            <w:r>
              <w:rPr>
                <w:rFonts w:ascii="Arial" w:cs="Arial" w:eastAsia="Arial" w:hAnsi="Arial"/>
                <w:sz w:val="14"/>
                <w:szCs w:val="14"/>
                <w:color w:val="auto"/>
              </w:rPr>
              <w:t>Total current assets</w:t>
            </w:r>
          </w:p>
        </w:tc>
        <w:tc>
          <w:tcPr>
            <w:tcW w:w="180" w:type="dxa"/>
            <w:vAlign w:val="bottom"/>
            <w:tcBorders>
              <w:bottom w:val="single" w:sz="8" w:color="auto"/>
            </w:tcBorders>
            <w:shd w:val="clear" w:color="auto" w:fill="CCEEFF"/>
          </w:tcPr>
          <w:p>
            <w:pPr>
              <w:spacing w:after="0"/>
              <w:rPr>
                <w:sz w:val="15"/>
                <w:szCs w:val="15"/>
                <w:color w:val="auto"/>
              </w:rPr>
            </w:pPr>
          </w:p>
        </w:tc>
        <w:tc>
          <w:tcPr>
            <w:tcW w:w="11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2,833</w:t>
            </w:r>
          </w:p>
        </w:tc>
        <w:tc>
          <w:tcPr>
            <w:tcW w:w="140" w:type="dxa"/>
            <w:vAlign w:val="bottom"/>
            <w:shd w:val="clear" w:color="auto" w:fill="CCEEFF"/>
          </w:tcPr>
          <w:p>
            <w:pPr>
              <w:spacing w:after="0"/>
              <w:rPr>
                <w:sz w:val="15"/>
                <w:szCs w:val="15"/>
                <w:color w:val="auto"/>
              </w:rPr>
            </w:pPr>
          </w:p>
        </w:tc>
        <w:tc>
          <w:tcPr>
            <w:tcW w:w="140" w:type="dxa"/>
            <w:vAlign w:val="bottom"/>
            <w:tcBorders>
              <w:bottom w:val="single" w:sz="8" w:color="auto"/>
            </w:tcBorders>
            <w:shd w:val="clear" w:color="auto" w:fill="CCEEFF"/>
          </w:tcPr>
          <w:p>
            <w:pPr>
              <w:spacing w:after="0"/>
              <w:rPr>
                <w:sz w:val="15"/>
                <w:szCs w:val="15"/>
                <w:color w:val="auto"/>
              </w:rPr>
            </w:pPr>
          </w:p>
        </w:tc>
        <w:tc>
          <w:tcPr>
            <w:tcW w:w="128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3,341</w:t>
            </w:r>
          </w:p>
        </w:tc>
        <w:tc>
          <w:tcPr>
            <w:tcW w:w="0" w:type="dxa"/>
            <w:vAlign w:val="bottom"/>
          </w:tcPr>
          <w:p>
            <w:pPr>
              <w:spacing w:after="0"/>
              <w:rPr>
                <w:sz w:val="1"/>
                <w:szCs w:val="1"/>
                <w:color w:val="auto"/>
              </w:rPr>
            </w:pPr>
          </w:p>
        </w:tc>
      </w:tr>
      <w:tr>
        <w:trPr>
          <w:trHeight w:val="177"/>
        </w:trPr>
        <w:tc>
          <w:tcPr>
            <w:tcW w:w="7640" w:type="dxa"/>
            <w:vAlign w:val="bottom"/>
          </w:tcPr>
          <w:p>
            <w:pPr>
              <w:ind w:left="20"/>
              <w:spacing w:after="0"/>
              <w:rPr>
                <w:sz w:val="20"/>
                <w:szCs w:val="20"/>
                <w:color w:val="auto"/>
              </w:rPr>
            </w:pPr>
            <w:r>
              <w:rPr>
                <w:rFonts w:ascii="Arial" w:cs="Arial" w:eastAsia="Arial" w:hAnsi="Arial"/>
                <w:sz w:val="14"/>
                <w:szCs w:val="14"/>
                <w:color w:val="auto"/>
              </w:rPr>
              <w:t>Long-term marketable securities</w:t>
            </w:r>
          </w:p>
        </w:tc>
        <w:tc>
          <w:tcPr>
            <w:tcW w:w="180" w:type="dxa"/>
            <w:vAlign w:val="bottom"/>
          </w:tcPr>
          <w:p>
            <w:pPr>
              <w:spacing w:after="0"/>
              <w:rPr>
                <w:sz w:val="15"/>
                <w:szCs w:val="15"/>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185</w:t>
            </w: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102</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Computer equipment, software, furniture and leasehold improvements, net</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140</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144</w:t>
            </w: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Operating lease right-of-use assets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267</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245</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Intangible assets, net</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426</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407</w:t>
            </w: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Goodwill</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3,624</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3,625</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Deferred income taxes, net</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1,042</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1,014</w:t>
            </w:r>
          </w:p>
        </w:tc>
        <w:tc>
          <w:tcPr>
            <w:tcW w:w="0" w:type="dxa"/>
            <w:vAlign w:val="bottom"/>
          </w:tcPr>
          <w:p>
            <w:pPr>
              <w:spacing w:after="0"/>
              <w:rPr>
                <w:sz w:val="1"/>
                <w:szCs w:val="1"/>
                <w:color w:val="auto"/>
              </w:rPr>
            </w:pPr>
          </w:p>
        </w:tc>
      </w:tr>
      <w:tr>
        <w:trPr>
          <w:trHeight w:val="185"/>
        </w:trPr>
        <w:tc>
          <w:tcPr>
            <w:tcW w:w="764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Long-term other assets</w:t>
            </w:r>
          </w:p>
        </w:tc>
        <w:tc>
          <w:tcPr>
            <w:tcW w:w="180" w:type="dxa"/>
            <w:vAlign w:val="bottom"/>
            <w:tcBorders>
              <w:bottom w:val="single" w:sz="8" w:color="auto"/>
            </w:tcBorders>
          </w:tcPr>
          <w:p>
            <w:pPr>
              <w:spacing w:after="0"/>
              <w:rPr>
                <w:sz w:val="16"/>
                <w:szCs w:val="16"/>
                <w:color w:val="auto"/>
              </w:rPr>
            </w:pPr>
          </w:p>
        </w:tc>
        <w:tc>
          <w:tcPr>
            <w:tcW w:w="11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552</w:t>
            </w:r>
          </w:p>
        </w:tc>
        <w:tc>
          <w:tcPr>
            <w:tcW w:w="14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560</w:t>
            </w:r>
          </w:p>
        </w:tc>
        <w:tc>
          <w:tcPr>
            <w:tcW w:w="0" w:type="dxa"/>
            <w:vAlign w:val="bottom"/>
          </w:tcPr>
          <w:p>
            <w:pPr>
              <w:spacing w:after="0"/>
              <w:rPr>
                <w:sz w:val="1"/>
                <w:szCs w:val="1"/>
                <w:color w:val="auto"/>
              </w:rPr>
            </w:pPr>
          </w:p>
        </w:tc>
      </w:tr>
      <w:tr>
        <w:trPr>
          <w:trHeight w:val="199"/>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 assets</w:t>
            </w:r>
          </w:p>
        </w:tc>
        <w:tc>
          <w:tcPr>
            <w:tcW w:w="1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w:t>
            </w: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9,069</w:t>
            </w:r>
          </w:p>
        </w:tc>
        <w:tc>
          <w:tcPr>
            <w:tcW w:w="28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9,438</w:t>
            </w:r>
          </w:p>
        </w:tc>
        <w:tc>
          <w:tcPr>
            <w:tcW w:w="0" w:type="dxa"/>
            <w:vAlign w:val="bottom"/>
          </w:tcPr>
          <w:p>
            <w:pPr>
              <w:spacing w:after="0"/>
              <w:rPr>
                <w:sz w:val="1"/>
                <w:szCs w:val="1"/>
                <w:color w:val="auto"/>
              </w:rPr>
            </w:pPr>
          </w:p>
        </w:tc>
      </w:tr>
      <w:tr>
        <w:trPr>
          <w:trHeight w:val="20"/>
        </w:trPr>
        <w:tc>
          <w:tcPr>
            <w:tcW w:w="7640" w:type="dxa"/>
            <w:vAlign w:val="bottom"/>
            <w:tcBorders>
              <w:top w:val="single" w:sz="8" w:color="CCEEFF"/>
              <w:bottom w:val="single" w:sz="8" w:color="CCEEFF"/>
            </w:tcBorders>
            <w:vMerge w:val="restart"/>
          </w:tcPr>
          <w:p>
            <w:pPr>
              <w:ind w:left="2340"/>
              <w:spacing w:after="0"/>
              <w:rPr>
                <w:sz w:val="20"/>
                <w:szCs w:val="20"/>
                <w:color w:val="auto"/>
              </w:rPr>
            </w:pPr>
            <w:r>
              <w:rPr>
                <w:rFonts w:ascii="Arial" w:cs="Arial" w:eastAsia="Arial" w:hAnsi="Arial"/>
                <w:sz w:val="14"/>
                <w:szCs w:val="14"/>
                <w:b w:val="1"/>
                <w:bCs w:val="1"/>
                <w:color w:val="auto"/>
              </w:rPr>
              <w:t>LIABILITIES AND STOCKHOLDERS’ EQUITY</w:t>
            </w:r>
          </w:p>
        </w:tc>
        <w:tc>
          <w:tcPr>
            <w:tcW w:w="180" w:type="dxa"/>
            <w:vAlign w:val="bottom"/>
            <w:tcBorders>
              <w:top w:val="single" w:sz="8" w:color="auto"/>
              <w:bottom w:val="single" w:sz="8" w:color="auto"/>
            </w:tcBorders>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CCEEFF"/>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8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33"/>
        </w:trPr>
        <w:tc>
          <w:tcPr>
            <w:tcW w:w="7640" w:type="dxa"/>
            <w:vAlign w:val="bottom"/>
            <w:vMerge w:val="continue"/>
          </w:tcPr>
          <w:p>
            <w:pPr>
              <w:spacing w:after="0"/>
              <w:rPr>
                <w:sz w:val="11"/>
                <w:szCs w:val="11"/>
                <w:color w:val="auto"/>
              </w:rPr>
            </w:pPr>
          </w:p>
        </w:tc>
        <w:tc>
          <w:tcPr>
            <w:tcW w:w="180" w:type="dxa"/>
            <w:vAlign w:val="bottom"/>
          </w:tcPr>
          <w:p>
            <w:pPr>
              <w:spacing w:after="0"/>
              <w:rPr>
                <w:sz w:val="11"/>
                <w:szCs w:val="11"/>
                <w:color w:val="auto"/>
              </w:rPr>
            </w:pPr>
          </w:p>
        </w:tc>
        <w:tc>
          <w:tcPr>
            <w:tcW w:w="11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2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7"/>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Current liabilities:</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7640" w:type="dxa"/>
            <w:vAlign w:val="bottom"/>
          </w:tcPr>
          <w:p>
            <w:pPr>
              <w:ind w:left="300"/>
              <w:spacing w:after="0"/>
              <w:rPr>
                <w:sz w:val="20"/>
                <w:szCs w:val="20"/>
                <w:color w:val="auto"/>
              </w:rPr>
            </w:pPr>
            <w:r>
              <w:rPr>
                <w:rFonts w:ascii="Arial" w:cs="Arial" w:eastAsia="Arial" w:hAnsi="Arial"/>
                <w:sz w:val="14"/>
                <w:szCs w:val="14"/>
                <w:color w:val="auto"/>
              </w:rPr>
              <w:t>Accounts payable</w:t>
            </w:r>
          </w:p>
        </w:tc>
        <w:tc>
          <w:tcPr>
            <w:tcW w:w="180" w:type="dxa"/>
            <w:vAlign w:val="bottom"/>
          </w:tcPr>
          <w:p>
            <w:pPr>
              <w:jc w:val="right"/>
              <w:ind w:right="10"/>
              <w:spacing w:after="0"/>
              <w:rPr>
                <w:sz w:val="20"/>
                <w:szCs w:val="20"/>
                <w:color w:val="auto"/>
              </w:rPr>
            </w:pPr>
            <w:r>
              <w:rPr>
                <w:rFonts w:ascii="Arial" w:cs="Arial" w:eastAsia="Arial" w:hAnsi="Arial"/>
                <w:sz w:val="14"/>
                <w:szCs w:val="14"/>
                <w:color w:val="auto"/>
              </w:rPr>
              <w:t>$</w:t>
            </w:r>
          </w:p>
        </w:tc>
        <w:tc>
          <w:tcPr>
            <w:tcW w:w="1160" w:type="dxa"/>
            <w:vAlign w:val="bottom"/>
          </w:tcPr>
          <w:p>
            <w:pPr>
              <w:jc w:val="right"/>
              <w:spacing w:after="0"/>
              <w:rPr>
                <w:sz w:val="20"/>
                <w:szCs w:val="20"/>
                <w:color w:val="auto"/>
              </w:rPr>
            </w:pPr>
            <w:r>
              <w:rPr>
                <w:rFonts w:ascii="Arial" w:cs="Arial" w:eastAsia="Arial" w:hAnsi="Arial"/>
                <w:sz w:val="14"/>
                <w:szCs w:val="14"/>
                <w:color w:val="auto"/>
              </w:rPr>
              <w:t>127</w:t>
            </w:r>
          </w:p>
        </w:tc>
        <w:tc>
          <w:tcPr>
            <w:tcW w:w="28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102</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Accrued compensation</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284</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358</w:t>
            </w:r>
          </w:p>
        </w:tc>
        <w:tc>
          <w:tcPr>
            <w:tcW w:w="0" w:type="dxa"/>
            <w:vAlign w:val="bottom"/>
          </w:tcPr>
          <w:p>
            <w:pPr>
              <w:spacing w:after="0"/>
              <w:rPr>
                <w:sz w:val="1"/>
                <w:szCs w:val="1"/>
                <w:color w:val="auto"/>
              </w:rPr>
            </w:pPr>
          </w:p>
        </w:tc>
      </w:tr>
      <w:tr>
        <w:trPr>
          <w:trHeight w:val="185"/>
        </w:trPr>
        <w:tc>
          <w:tcPr>
            <w:tcW w:w="7640" w:type="dxa"/>
            <w:vAlign w:val="bottom"/>
          </w:tcPr>
          <w:p>
            <w:pPr>
              <w:ind w:left="300"/>
              <w:spacing w:after="0"/>
              <w:rPr>
                <w:sz w:val="20"/>
                <w:szCs w:val="20"/>
                <w:color w:val="auto"/>
              </w:rPr>
            </w:pPr>
            <w:r>
              <w:rPr>
                <w:rFonts w:ascii="Arial" w:cs="Arial" w:eastAsia="Arial" w:hAnsi="Arial"/>
                <w:sz w:val="14"/>
                <w:szCs w:val="14"/>
                <w:color w:val="auto"/>
              </w:rPr>
              <w:t>Accrued income taxes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104</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33</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Deferred revenue</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3,189</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3,203</w:t>
            </w:r>
          </w:p>
        </w:tc>
        <w:tc>
          <w:tcPr>
            <w:tcW w:w="0" w:type="dxa"/>
            <w:vAlign w:val="bottom"/>
          </w:tcPr>
          <w:p>
            <w:pPr>
              <w:spacing w:after="0"/>
              <w:rPr>
                <w:sz w:val="1"/>
                <w:szCs w:val="1"/>
                <w:color w:val="auto"/>
              </w:rPr>
            </w:pPr>
          </w:p>
        </w:tc>
      </w:tr>
      <w:tr>
        <w:trPr>
          <w:trHeight w:val="185"/>
        </w:trPr>
        <w:tc>
          <w:tcPr>
            <w:tcW w:w="7640" w:type="dxa"/>
            <w:vAlign w:val="bottom"/>
          </w:tcPr>
          <w:p>
            <w:pPr>
              <w:ind w:left="300"/>
              <w:spacing w:after="0"/>
              <w:rPr>
                <w:sz w:val="20"/>
                <w:szCs w:val="20"/>
                <w:color w:val="auto"/>
              </w:rPr>
            </w:pPr>
            <w:r>
              <w:rPr>
                <w:rFonts w:ascii="Arial" w:cs="Arial" w:eastAsia="Arial" w:hAnsi="Arial"/>
                <w:sz w:val="14"/>
                <w:szCs w:val="14"/>
                <w:color w:val="auto"/>
              </w:rPr>
              <w:t>Operating lease liabilities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74</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85</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Other accrued liabilities</w:t>
            </w:r>
          </w:p>
        </w:tc>
        <w:tc>
          <w:tcPr>
            <w:tcW w:w="180" w:type="dxa"/>
            <w:vAlign w:val="bottom"/>
            <w:tcBorders>
              <w:bottom w:val="single" w:sz="8" w:color="auto"/>
            </w:tcBorders>
            <w:shd w:val="clear" w:color="auto" w:fill="CCEEFF"/>
          </w:tcPr>
          <w:p>
            <w:pPr>
              <w:spacing w:after="0"/>
              <w:rPr>
                <w:sz w:val="16"/>
                <w:szCs w:val="16"/>
                <w:color w:val="auto"/>
              </w:rPr>
            </w:pPr>
          </w:p>
        </w:tc>
        <w:tc>
          <w:tcPr>
            <w:tcW w:w="11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148</w:t>
            </w:r>
          </w:p>
        </w:tc>
        <w:tc>
          <w:tcPr>
            <w:tcW w:w="140" w:type="dxa"/>
            <w:vAlign w:val="bottom"/>
            <w:shd w:val="clear" w:color="auto" w:fill="CCEEFF"/>
          </w:tcPr>
          <w:p>
            <w:pPr>
              <w:spacing w:after="0"/>
              <w:rPr>
                <w:sz w:val="16"/>
                <w:szCs w:val="16"/>
                <w:color w:val="auto"/>
              </w:rPr>
            </w:pPr>
          </w:p>
        </w:tc>
        <w:tc>
          <w:tcPr>
            <w:tcW w:w="140" w:type="dxa"/>
            <w:vAlign w:val="bottom"/>
            <w:tcBorders>
              <w:bottom w:val="single" w:sz="8" w:color="auto"/>
            </w:tcBorders>
            <w:shd w:val="clear" w:color="auto" w:fill="CCEEFF"/>
          </w:tcPr>
          <w:p>
            <w:pPr>
              <w:spacing w:after="0"/>
              <w:rPr>
                <w:sz w:val="16"/>
                <w:szCs w:val="16"/>
                <w:color w:val="auto"/>
              </w:rPr>
            </w:pPr>
          </w:p>
        </w:tc>
        <w:tc>
          <w:tcPr>
            <w:tcW w:w="128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219</w:t>
            </w:r>
          </w:p>
        </w:tc>
        <w:tc>
          <w:tcPr>
            <w:tcW w:w="0" w:type="dxa"/>
            <w:vAlign w:val="bottom"/>
          </w:tcPr>
          <w:p>
            <w:pPr>
              <w:spacing w:after="0"/>
              <w:rPr>
                <w:sz w:val="1"/>
                <w:szCs w:val="1"/>
                <w:color w:val="auto"/>
              </w:rPr>
            </w:pPr>
          </w:p>
        </w:tc>
      </w:tr>
      <w:tr>
        <w:trPr>
          <w:trHeight w:val="177"/>
        </w:trPr>
        <w:tc>
          <w:tcPr>
            <w:tcW w:w="7640" w:type="dxa"/>
            <w:vAlign w:val="bottom"/>
            <w:tcBorders>
              <w:bottom w:val="single" w:sz="8" w:color="CCEEFF"/>
            </w:tcBorders>
          </w:tcPr>
          <w:p>
            <w:pPr>
              <w:ind w:left="480"/>
              <w:spacing w:after="0"/>
              <w:rPr>
                <w:sz w:val="20"/>
                <w:szCs w:val="20"/>
                <w:color w:val="auto"/>
              </w:rPr>
            </w:pPr>
            <w:r>
              <w:rPr>
                <w:rFonts w:ascii="Arial" w:cs="Arial" w:eastAsia="Arial" w:hAnsi="Arial"/>
                <w:sz w:val="14"/>
                <w:szCs w:val="14"/>
                <w:color w:val="auto"/>
              </w:rPr>
              <w:t>Total current liabilities</w:t>
            </w:r>
          </w:p>
        </w:tc>
        <w:tc>
          <w:tcPr>
            <w:tcW w:w="180" w:type="dxa"/>
            <w:vAlign w:val="bottom"/>
            <w:tcBorders>
              <w:bottom w:val="single" w:sz="8" w:color="auto"/>
            </w:tcBorders>
          </w:tcPr>
          <w:p>
            <w:pPr>
              <w:spacing w:after="0"/>
              <w:rPr>
                <w:sz w:val="15"/>
                <w:szCs w:val="15"/>
                <w:color w:val="auto"/>
              </w:rPr>
            </w:pPr>
          </w:p>
        </w:tc>
        <w:tc>
          <w:tcPr>
            <w:tcW w:w="11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3,926</w:t>
            </w:r>
          </w:p>
        </w:tc>
        <w:tc>
          <w:tcPr>
            <w:tcW w:w="14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8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4,000</w:t>
            </w:r>
          </w:p>
        </w:tc>
        <w:tc>
          <w:tcPr>
            <w:tcW w:w="0" w:type="dxa"/>
            <w:vAlign w:val="bottom"/>
          </w:tcPr>
          <w:p>
            <w:pPr>
              <w:spacing w:after="0"/>
              <w:rPr>
                <w:sz w:val="1"/>
                <w:szCs w:val="1"/>
                <w:color w:val="auto"/>
              </w:rPr>
            </w:pPr>
          </w:p>
        </w:tc>
      </w:tr>
      <w:tr>
        <w:trPr>
          <w:trHeight w:val="182"/>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Long-term deferred revenue</w:t>
            </w:r>
          </w:p>
        </w:tc>
        <w:tc>
          <w:tcPr>
            <w:tcW w:w="180" w:type="dxa"/>
            <w:vAlign w:val="bottom"/>
            <w:shd w:val="clear" w:color="auto" w:fill="CCEEFF"/>
          </w:tcPr>
          <w:p>
            <w:pPr>
              <w:spacing w:after="0"/>
              <w:rPr>
                <w:sz w:val="15"/>
                <w:szCs w:val="15"/>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1,294</w:t>
            </w:r>
          </w:p>
        </w:tc>
        <w:tc>
          <w:tcPr>
            <w:tcW w:w="140" w:type="dxa"/>
            <w:vAlign w:val="bottom"/>
            <w:shd w:val="clear" w:color="auto" w:fill="CCEEFF"/>
          </w:tcPr>
          <w:p>
            <w:pPr>
              <w:spacing w:after="0"/>
              <w:rPr>
                <w:sz w:val="15"/>
                <w:szCs w:val="15"/>
                <w:color w:val="auto"/>
              </w:rPr>
            </w:pPr>
          </w:p>
        </w:tc>
        <w:tc>
          <w:tcPr>
            <w:tcW w:w="140" w:type="dxa"/>
            <w:vAlign w:val="bottom"/>
            <w:shd w:val="clear" w:color="auto" w:fill="CCEEFF"/>
          </w:tcPr>
          <w:p>
            <w:pPr>
              <w:spacing w:after="0"/>
              <w:rPr>
                <w:sz w:val="15"/>
                <w:szCs w:val="15"/>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1,377</w:t>
            </w: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Long-term operating lease liabilities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328</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300</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Long-term income taxes payable</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168</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164</w:t>
            </w: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Long-term deferred income taxes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33</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32</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Long-term notes payable, net</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2,282</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2,281</w:t>
            </w:r>
          </w:p>
        </w:tc>
        <w:tc>
          <w:tcPr>
            <w:tcW w:w="0" w:type="dxa"/>
            <w:vAlign w:val="bottom"/>
          </w:tcPr>
          <w:p>
            <w:pPr>
              <w:spacing w:after="0"/>
              <w:rPr>
                <w:sz w:val="1"/>
                <w:szCs w:val="1"/>
                <w:color w:val="auto"/>
              </w:rPr>
            </w:pPr>
          </w:p>
        </w:tc>
      </w:tr>
      <w:tr>
        <w:trPr>
          <w:trHeight w:val="185"/>
        </w:trPr>
        <w:tc>
          <w:tcPr>
            <w:tcW w:w="7640" w:type="dxa"/>
            <w:vAlign w:val="bottom"/>
          </w:tcPr>
          <w:p>
            <w:pPr>
              <w:ind w:left="20"/>
              <w:spacing w:after="0"/>
              <w:rPr>
                <w:sz w:val="20"/>
                <w:szCs w:val="20"/>
                <w:color w:val="auto"/>
              </w:rPr>
            </w:pPr>
            <w:r>
              <w:rPr>
                <w:rFonts w:ascii="Arial" w:cs="Arial" w:eastAsia="Arial" w:hAnsi="Arial"/>
                <w:sz w:val="14"/>
                <w:szCs w:val="14"/>
                <w:color w:val="auto"/>
              </w:rPr>
              <w:t>Long-term other liabilities</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141</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139</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20"/>
              <w:spacing w:after="0"/>
              <w:rPr>
                <w:sz w:val="20"/>
                <w:szCs w:val="20"/>
                <w:color w:val="auto"/>
              </w:rPr>
            </w:pPr>
            <w:r>
              <w:rPr>
                <w:rFonts w:ascii="Arial" w:cs="Arial" w:eastAsia="Arial" w:hAnsi="Arial"/>
                <w:sz w:val="14"/>
                <w:szCs w:val="14"/>
                <w:color w:val="auto"/>
              </w:rPr>
              <w:t>Stockholders’ equity:</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7640" w:type="dxa"/>
            <w:vAlign w:val="bottom"/>
          </w:tcPr>
          <w:p>
            <w:pPr>
              <w:ind w:left="300"/>
              <w:spacing w:after="0"/>
              <w:rPr>
                <w:sz w:val="20"/>
                <w:szCs w:val="20"/>
                <w:color w:val="auto"/>
              </w:rPr>
            </w:pPr>
            <w:r>
              <w:rPr>
                <w:rFonts w:ascii="Arial" w:cs="Arial" w:eastAsia="Arial" w:hAnsi="Arial"/>
                <w:sz w:val="14"/>
                <w:szCs w:val="14"/>
                <w:color w:val="auto"/>
              </w:rPr>
              <w:t>Common stock and additional paid-in capital</w:t>
            </w:r>
          </w:p>
        </w:tc>
        <w:tc>
          <w:tcPr>
            <w:tcW w:w="18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3,368</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3,325</w:t>
            </w:r>
          </w:p>
        </w:tc>
        <w:tc>
          <w:tcPr>
            <w:tcW w:w="0" w:type="dxa"/>
            <w:vAlign w:val="bottom"/>
          </w:tcPr>
          <w:p>
            <w:pPr>
              <w:spacing w:after="0"/>
              <w:rPr>
                <w:sz w:val="1"/>
                <w:szCs w:val="1"/>
                <w:color w:val="auto"/>
              </w:rPr>
            </w:pPr>
          </w:p>
        </w:tc>
      </w:tr>
      <w:tr>
        <w:trPr>
          <w:trHeight w:val="190"/>
        </w:trPr>
        <w:tc>
          <w:tcPr>
            <w:tcW w:w="7640" w:type="dxa"/>
            <w:vAlign w:val="bottom"/>
            <w:shd w:val="clear" w:color="auto" w:fill="CCEEFF"/>
          </w:tcPr>
          <w:p>
            <w:pPr>
              <w:ind w:left="300"/>
              <w:spacing w:after="0"/>
              <w:rPr>
                <w:sz w:val="20"/>
                <w:szCs w:val="20"/>
                <w:color w:val="auto"/>
              </w:rPr>
            </w:pPr>
            <w:r>
              <w:rPr>
                <w:rFonts w:ascii="Arial" w:cs="Arial" w:eastAsia="Arial" w:hAnsi="Arial"/>
                <w:sz w:val="14"/>
                <w:szCs w:val="14"/>
                <w:color w:val="auto"/>
              </w:rPr>
              <w:t>Accumulated other comprehensive loss</w:t>
            </w:r>
          </w:p>
        </w:tc>
        <w:tc>
          <w:tcPr>
            <w:tcW w:w="180" w:type="dxa"/>
            <w:vAlign w:val="bottom"/>
            <w:shd w:val="clear" w:color="auto" w:fill="CCEEFF"/>
          </w:tcPr>
          <w:p>
            <w:pPr>
              <w:spacing w:after="0"/>
              <w:rPr>
                <w:sz w:val="16"/>
                <w:szCs w:val="16"/>
                <w:color w:val="auto"/>
              </w:rPr>
            </w:pP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(200)</w:t>
            </w:r>
          </w:p>
        </w:tc>
        <w:tc>
          <w:tcPr>
            <w:tcW w:w="14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(185)</w:t>
            </w:r>
          </w:p>
        </w:tc>
        <w:tc>
          <w:tcPr>
            <w:tcW w:w="0" w:type="dxa"/>
            <w:vAlign w:val="bottom"/>
          </w:tcPr>
          <w:p>
            <w:pPr>
              <w:spacing w:after="0"/>
              <w:rPr>
                <w:sz w:val="1"/>
                <w:szCs w:val="1"/>
                <w:color w:val="auto"/>
              </w:rPr>
            </w:pPr>
          </w:p>
        </w:tc>
      </w:tr>
      <w:tr>
        <w:trPr>
          <w:trHeight w:val="185"/>
        </w:trPr>
        <w:tc>
          <w:tcPr>
            <w:tcW w:w="764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Accumulated deficit</w:t>
            </w:r>
          </w:p>
        </w:tc>
        <w:tc>
          <w:tcPr>
            <w:tcW w:w="180" w:type="dxa"/>
            <w:vAlign w:val="bottom"/>
            <w:tcBorders>
              <w:bottom w:val="single" w:sz="8" w:color="auto"/>
            </w:tcBorders>
          </w:tcPr>
          <w:p>
            <w:pPr>
              <w:spacing w:after="0"/>
              <w:rPr>
                <w:sz w:val="16"/>
                <w:szCs w:val="16"/>
                <w:color w:val="auto"/>
              </w:rPr>
            </w:pPr>
          </w:p>
        </w:tc>
        <w:tc>
          <w:tcPr>
            <w:tcW w:w="11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(2,271)</w:t>
            </w:r>
          </w:p>
        </w:tc>
        <w:tc>
          <w:tcPr>
            <w:tcW w:w="14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(1,995)</w:t>
            </w:r>
          </w:p>
        </w:tc>
        <w:tc>
          <w:tcPr>
            <w:tcW w:w="0" w:type="dxa"/>
            <w:vAlign w:val="bottom"/>
          </w:tcPr>
          <w:p>
            <w:pPr>
              <w:spacing w:after="0"/>
              <w:rPr>
                <w:sz w:val="1"/>
                <w:szCs w:val="1"/>
                <w:color w:val="auto"/>
              </w:rPr>
            </w:pPr>
          </w:p>
        </w:tc>
      </w:tr>
      <w:tr>
        <w:trPr>
          <w:trHeight w:val="182"/>
        </w:trPr>
        <w:tc>
          <w:tcPr>
            <w:tcW w:w="7640" w:type="dxa"/>
            <w:vAlign w:val="bottom"/>
            <w:shd w:val="clear" w:color="auto" w:fill="CCEEFF"/>
          </w:tcPr>
          <w:p>
            <w:pPr>
              <w:ind w:left="480"/>
              <w:spacing w:after="0"/>
              <w:rPr>
                <w:sz w:val="20"/>
                <w:szCs w:val="20"/>
                <w:color w:val="auto"/>
              </w:rPr>
            </w:pPr>
            <w:r>
              <w:rPr>
                <w:rFonts w:ascii="Arial" w:cs="Arial" w:eastAsia="Arial" w:hAnsi="Arial"/>
                <w:sz w:val="14"/>
                <w:szCs w:val="14"/>
                <w:color w:val="auto"/>
              </w:rPr>
              <w:t>Total stockholders’ equity</w:t>
            </w:r>
          </w:p>
        </w:tc>
        <w:tc>
          <w:tcPr>
            <w:tcW w:w="180" w:type="dxa"/>
            <w:vAlign w:val="bottom"/>
            <w:tcBorders>
              <w:bottom w:val="single" w:sz="8" w:color="auto"/>
            </w:tcBorders>
            <w:shd w:val="clear" w:color="auto" w:fill="CCEEFF"/>
          </w:tcPr>
          <w:p>
            <w:pPr>
              <w:spacing w:after="0"/>
              <w:rPr>
                <w:sz w:val="15"/>
                <w:szCs w:val="15"/>
                <w:color w:val="auto"/>
              </w:rPr>
            </w:pPr>
          </w:p>
        </w:tc>
        <w:tc>
          <w:tcPr>
            <w:tcW w:w="11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897</w:t>
            </w:r>
          </w:p>
        </w:tc>
        <w:tc>
          <w:tcPr>
            <w:tcW w:w="140" w:type="dxa"/>
            <w:vAlign w:val="bottom"/>
            <w:shd w:val="clear" w:color="auto" w:fill="CCEEFF"/>
          </w:tcPr>
          <w:p>
            <w:pPr>
              <w:spacing w:after="0"/>
              <w:rPr>
                <w:sz w:val="15"/>
                <w:szCs w:val="15"/>
                <w:color w:val="auto"/>
              </w:rPr>
            </w:pPr>
          </w:p>
        </w:tc>
        <w:tc>
          <w:tcPr>
            <w:tcW w:w="140" w:type="dxa"/>
            <w:vAlign w:val="bottom"/>
            <w:tcBorders>
              <w:bottom w:val="single" w:sz="8" w:color="auto"/>
            </w:tcBorders>
            <w:shd w:val="clear" w:color="auto" w:fill="CCEEFF"/>
          </w:tcPr>
          <w:p>
            <w:pPr>
              <w:spacing w:after="0"/>
              <w:rPr>
                <w:sz w:val="15"/>
                <w:szCs w:val="15"/>
                <w:color w:val="auto"/>
              </w:rPr>
            </w:pPr>
          </w:p>
        </w:tc>
        <w:tc>
          <w:tcPr>
            <w:tcW w:w="128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1,145</w:t>
            </w:r>
          </w:p>
        </w:tc>
        <w:tc>
          <w:tcPr>
            <w:tcW w:w="0" w:type="dxa"/>
            <w:vAlign w:val="bottom"/>
          </w:tcPr>
          <w:p>
            <w:pPr>
              <w:spacing w:after="0"/>
              <w:rPr>
                <w:sz w:val="1"/>
                <w:szCs w:val="1"/>
                <w:color w:val="auto"/>
              </w:rPr>
            </w:pPr>
          </w:p>
        </w:tc>
      </w:tr>
      <w:tr>
        <w:trPr>
          <w:trHeight w:val="177"/>
        </w:trPr>
        <w:tc>
          <w:tcPr>
            <w:tcW w:w="7640" w:type="dxa"/>
            <w:vAlign w:val="bottom"/>
          </w:tcPr>
          <w:p>
            <w:pPr>
              <w:ind w:left="20"/>
              <w:spacing w:after="0"/>
              <w:rPr>
                <w:sz w:val="20"/>
                <w:szCs w:val="20"/>
                <w:color w:val="auto"/>
              </w:rPr>
            </w:pPr>
            <w:r>
              <w:rPr>
                <w:rFonts w:ascii="Arial" w:cs="Arial" w:eastAsia="Arial" w:hAnsi="Arial"/>
                <w:sz w:val="14"/>
                <w:szCs w:val="14"/>
                <w:color w:val="auto"/>
              </w:rPr>
              <w:t>Total liabilities and stockholders’ equity</w:t>
            </w:r>
          </w:p>
        </w:tc>
        <w:tc>
          <w:tcPr>
            <w:tcW w:w="180" w:type="dxa"/>
            <w:vAlign w:val="bottom"/>
          </w:tcPr>
          <w:p>
            <w:pPr>
              <w:jc w:val="right"/>
              <w:ind w:right="10"/>
              <w:spacing w:after="0"/>
              <w:rPr>
                <w:sz w:val="20"/>
                <w:szCs w:val="20"/>
                <w:color w:val="auto"/>
              </w:rPr>
            </w:pPr>
            <w:r>
              <w:rPr>
                <w:rFonts w:ascii="Arial" w:cs="Arial" w:eastAsia="Arial" w:hAnsi="Arial"/>
                <w:sz w:val="14"/>
                <w:szCs w:val="14"/>
                <w:color w:val="auto"/>
              </w:rPr>
              <w:t>$</w:t>
            </w:r>
          </w:p>
        </w:tc>
        <w:tc>
          <w:tcPr>
            <w:tcW w:w="1160" w:type="dxa"/>
            <w:vAlign w:val="bottom"/>
          </w:tcPr>
          <w:p>
            <w:pPr>
              <w:jc w:val="right"/>
              <w:spacing w:after="0"/>
              <w:rPr>
                <w:sz w:val="20"/>
                <w:szCs w:val="20"/>
                <w:color w:val="auto"/>
              </w:rPr>
            </w:pPr>
            <w:r>
              <w:rPr>
                <w:rFonts w:ascii="Arial" w:cs="Arial" w:eastAsia="Arial" w:hAnsi="Arial"/>
                <w:sz w:val="14"/>
                <w:szCs w:val="14"/>
                <w:color w:val="auto"/>
              </w:rPr>
              <w:t>9,069</w:t>
            </w:r>
          </w:p>
        </w:tc>
        <w:tc>
          <w:tcPr>
            <w:tcW w:w="28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1280" w:type="dxa"/>
            <w:vAlign w:val="bottom"/>
          </w:tcPr>
          <w:p>
            <w:pPr>
              <w:jc w:val="right"/>
              <w:ind w:right="10"/>
              <w:spacing w:after="0"/>
              <w:rPr>
                <w:sz w:val="20"/>
                <w:szCs w:val="20"/>
                <w:color w:val="auto"/>
              </w:rPr>
            </w:pPr>
            <w:r>
              <w:rPr>
                <w:rFonts w:ascii="Arial" w:cs="Arial" w:eastAsia="Arial" w:hAnsi="Arial"/>
                <w:sz w:val="14"/>
                <w:szCs w:val="14"/>
                <w:color w:val="auto"/>
              </w:rPr>
              <w:t>9,438</w:t>
            </w:r>
          </w:p>
        </w:tc>
        <w:tc>
          <w:tcPr>
            <w:tcW w:w="0" w:type="dxa"/>
            <w:vAlign w:val="bottom"/>
          </w:tcPr>
          <w:p>
            <w:pPr>
              <w:spacing w:after="0"/>
              <w:rPr>
                <w:sz w:val="1"/>
                <w:szCs w:val="1"/>
                <w:color w:val="auto"/>
              </w:rPr>
            </w:pPr>
          </w:p>
        </w:tc>
      </w:tr>
      <w:tr>
        <w:trPr>
          <w:trHeight w:val="20"/>
        </w:trPr>
        <w:tc>
          <w:tcPr>
            <w:tcW w:w="764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8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See accompanying Notes to Condensed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39"/>
        <w:spacing w:after="0"/>
        <w:rPr>
          <w:sz w:val="20"/>
          <w:szCs w:val="20"/>
          <w:color w:val="auto"/>
        </w:rPr>
      </w:pPr>
      <w:r>
        <w:rPr>
          <w:rFonts w:ascii="Arial" w:cs="Arial" w:eastAsia="Arial" w:hAnsi="Arial"/>
          <w:sz w:val="15"/>
          <w:szCs w:val="15"/>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40"/>
          </w:cols>
          <w:pgMar w:left="660" w:top="1222" w:right="700" w:bottom="1440" w:gutter="0" w:footer="0" w:header="0"/>
        </w:sectPr>
      </w:pPr>
    </w:p>
    <w:bookmarkStart w:id="6" w:name="page7"/>
    <w:bookmarkEnd w:id="6"/>
    <w:p>
      <w:pPr>
        <w:jc w:val="center"/>
        <w:ind w:right="-79"/>
        <w:spacing w:after="0"/>
        <w:rPr>
          <w:sz w:val="20"/>
          <w:szCs w:val="20"/>
          <w:color w:val="auto"/>
        </w:rPr>
      </w:pPr>
      <w:r>
        <w:rPr>
          <w:rFonts w:ascii="Arial" w:cs="Arial" w:eastAsia="Arial" w:hAnsi="Arial"/>
          <w:sz w:val="15"/>
          <w:szCs w:val="15"/>
          <w:b w:val="1"/>
          <w:bCs w:val="1"/>
          <w:color w:val="auto"/>
        </w:rPr>
        <w:t>AUTODESK, INC.</w:t>
      </w:r>
    </w:p>
    <w:p>
      <w:pPr>
        <w:spacing w:after="0" w:line="21" w:lineRule="exact"/>
        <w:rPr>
          <w:sz w:val="20"/>
          <w:szCs w:val="20"/>
          <w:color w:val="auto"/>
        </w:rPr>
      </w:pPr>
    </w:p>
    <w:p>
      <w:pPr>
        <w:jc w:val="center"/>
        <w:ind w:right="-39"/>
        <w:spacing w:after="0"/>
        <w:rPr>
          <w:sz w:val="20"/>
          <w:szCs w:val="20"/>
          <w:color w:val="auto"/>
        </w:rPr>
      </w:pPr>
      <w:r>
        <w:rPr>
          <w:rFonts w:ascii="Arial" w:cs="Arial" w:eastAsia="Arial" w:hAnsi="Arial"/>
          <w:sz w:val="15"/>
          <w:szCs w:val="15"/>
          <w:b w:val="1"/>
          <w:bCs w:val="1"/>
          <w:color w:val="auto"/>
        </w:rPr>
        <w:t>CONDENSED CONSOLIDATED STATEMENTS OF CASH FLOWS</w:t>
      </w:r>
    </w:p>
    <w:p>
      <w:pPr>
        <w:spacing w:after="0" w:line="3" w:lineRule="exact"/>
        <w:rPr>
          <w:sz w:val="20"/>
          <w:szCs w:val="20"/>
          <w:color w:val="auto"/>
        </w:rPr>
      </w:pPr>
    </w:p>
    <w:p>
      <w:pPr>
        <w:ind w:left="4900"/>
        <w:spacing w:after="0"/>
        <w:rPr>
          <w:sz w:val="20"/>
          <w:szCs w:val="20"/>
          <w:color w:val="auto"/>
        </w:rPr>
      </w:pPr>
      <w:r>
        <w:rPr>
          <w:rFonts w:ascii="Arial" w:cs="Arial" w:eastAsia="Arial" w:hAnsi="Arial"/>
          <w:sz w:val="15"/>
          <w:szCs w:val="15"/>
          <w:color w:val="auto"/>
        </w:rPr>
        <w:t>(In millions)</w:t>
      </w:r>
    </w:p>
    <w:p>
      <w:pPr>
        <w:spacing w:after="0" w:line="3" w:lineRule="exact"/>
        <w:rPr>
          <w:sz w:val="20"/>
          <w:szCs w:val="20"/>
          <w:color w:val="auto"/>
        </w:rPr>
      </w:pPr>
    </w:p>
    <w:p>
      <w:pPr>
        <w:ind w:left="4880"/>
        <w:spacing w:after="0"/>
        <w:rPr>
          <w:sz w:val="20"/>
          <w:szCs w:val="20"/>
          <w:color w:val="auto"/>
        </w:rPr>
      </w:pPr>
      <w:r>
        <w:rPr>
          <w:rFonts w:ascii="Arial" w:cs="Arial" w:eastAsia="Arial" w:hAnsi="Arial"/>
          <w:sz w:val="15"/>
          <w:szCs w:val="15"/>
          <w:color w:val="auto"/>
        </w:rPr>
        <w:t>(Unaudited)</w:t>
      </w:r>
    </w:p>
    <w:p>
      <w:pPr>
        <w:spacing w:after="0" w:line="254"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680" w:type="dxa"/>
            <w:vAlign w:val="bottom"/>
          </w:tcPr>
          <w:p>
            <w:pPr>
              <w:spacing w:after="0"/>
              <w:rPr>
                <w:sz w:val="15"/>
                <w:szCs w:val="15"/>
                <w:color w:val="auto"/>
              </w:rPr>
            </w:pPr>
          </w:p>
        </w:tc>
        <w:tc>
          <w:tcPr>
            <w:tcW w:w="2360" w:type="dxa"/>
            <w:vAlign w:val="bottom"/>
            <w:tcBorders>
              <w:bottom w:val="single" w:sz="8" w:color="auto"/>
            </w:tcBorders>
            <w:gridSpan w:val="4"/>
          </w:tcPr>
          <w:p>
            <w:pPr>
              <w:jc w:val="right"/>
              <w:ind w:right="40"/>
              <w:spacing w:after="0"/>
              <w:rPr>
                <w:sz w:val="20"/>
                <w:szCs w:val="20"/>
                <w:color w:val="auto"/>
              </w:rPr>
            </w:pPr>
            <w:r>
              <w:rPr>
                <w:rFonts w:ascii="Arial" w:cs="Arial" w:eastAsia="Arial" w:hAnsi="Arial"/>
                <w:sz w:val="13"/>
                <w:szCs w:val="13"/>
                <w:b w:val="1"/>
                <w:bCs w:val="1"/>
                <w:color w:val="auto"/>
              </w:rPr>
              <w:t>Three Months Ended April 30,</w:t>
            </w:r>
          </w:p>
        </w:tc>
        <w:tc>
          <w:tcPr>
            <w:tcW w:w="460" w:type="dxa"/>
            <w:vAlign w:val="bottom"/>
            <w:tcBorders>
              <w:bottom w:val="single" w:sz="8" w:color="auto"/>
            </w:tcBorders>
          </w:tcPr>
          <w:p>
            <w:pPr>
              <w:spacing w:after="0"/>
              <w:rPr>
                <w:sz w:val="15"/>
                <w:szCs w:val="15"/>
                <w:color w:val="auto"/>
              </w:rPr>
            </w:pPr>
          </w:p>
        </w:tc>
      </w:tr>
      <w:tr>
        <w:trPr>
          <w:trHeight w:val="167"/>
        </w:trPr>
        <w:tc>
          <w:tcPr>
            <w:tcW w:w="76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b w:val="1"/>
                <w:bCs w:val="1"/>
                <w:color w:val="auto"/>
              </w:rPr>
              <w:t>2023</w:t>
            </w:r>
          </w:p>
        </w:tc>
        <w:tc>
          <w:tcPr>
            <w:tcW w:w="480" w:type="dxa"/>
            <w:vAlign w:val="bottom"/>
          </w:tcPr>
          <w:p>
            <w:pPr>
              <w:spacing w:after="0"/>
              <w:rPr>
                <w:sz w:val="14"/>
                <w:szCs w:val="14"/>
                <w:color w:val="auto"/>
              </w:rPr>
            </w:pPr>
          </w:p>
        </w:tc>
        <w:tc>
          <w:tcPr>
            <w:tcW w:w="1000" w:type="dxa"/>
            <w:vAlign w:val="bottom"/>
            <w:gridSpan w:val="2"/>
          </w:tcPr>
          <w:p>
            <w:pPr>
              <w:jc w:val="right"/>
              <w:ind w:right="80"/>
              <w:spacing w:after="0"/>
              <w:rPr>
                <w:sz w:val="20"/>
                <w:szCs w:val="20"/>
                <w:color w:val="auto"/>
              </w:rPr>
            </w:pPr>
            <w:r>
              <w:rPr>
                <w:rFonts w:ascii="Arial" w:cs="Arial" w:eastAsia="Arial" w:hAnsi="Arial"/>
                <w:sz w:val="13"/>
                <w:szCs w:val="13"/>
                <w:b w:val="1"/>
                <w:bCs w:val="1"/>
                <w:color w:val="auto"/>
              </w:rPr>
              <w:t>2022</w:t>
            </w:r>
          </w:p>
        </w:tc>
        <w:tc>
          <w:tcPr>
            <w:tcW w:w="460" w:type="dxa"/>
            <w:vAlign w:val="bottom"/>
          </w:tcPr>
          <w:p>
            <w:pPr>
              <w:spacing w:after="0"/>
              <w:rPr>
                <w:sz w:val="14"/>
                <w:szCs w:val="14"/>
                <w:color w:val="auto"/>
              </w:rPr>
            </w:pPr>
          </w:p>
        </w:tc>
      </w:tr>
      <w:tr>
        <w:trPr>
          <w:trHeight w:val="167"/>
        </w:trPr>
        <w:tc>
          <w:tcPr>
            <w:tcW w:w="768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Operating activities:</w:t>
            </w:r>
          </w:p>
        </w:tc>
        <w:tc>
          <w:tcPr>
            <w:tcW w:w="880" w:type="dxa"/>
            <w:vAlign w:val="bottom"/>
            <w:tcBorders>
              <w:top w:val="single" w:sz="8" w:color="auto"/>
            </w:tcBorders>
            <w:shd w:val="clear" w:color="auto" w:fill="CCEEFF"/>
          </w:tcPr>
          <w:p>
            <w:pPr>
              <w:spacing w:after="0"/>
              <w:rPr>
                <w:sz w:val="14"/>
                <w:szCs w:val="14"/>
                <w:color w:val="auto"/>
              </w:rPr>
            </w:pPr>
          </w:p>
        </w:tc>
        <w:tc>
          <w:tcPr>
            <w:tcW w:w="4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900" w:type="dxa"/>
            <w:vAlign w:val="bottom"/>
            <w:tcBorders>
              <w:top w:val="single" w:sz="8" w:color="auto"/>
            </w:tcBorders>
            <w:shd w:val="clear" w:color="auto" w:fill="CCEEFF"/>
          </w:tcPr>
          <w:p>
            <w:pPr>
              <w:spacing w:after="0"/>
              <w:rPr>
                <w:sz w:val="14"/>
                <w:szCs w:val="14"/>
                <w:color w:val="auto"/>
              </w:rPr>
            </w:pPr>
          </w:p>
        </w:tc>
        <w:tc>
          <w:tcPr>
            <w:tcW w:w="460" w:type="dxa"/>
            <w:vAlign w:val="bottom"/>
            <w:tcBorders>
              <w:top w:val="single" w:sz="8" w:color="auto"/>
            </w:tcBorders>
            <w:shd w:val="clear" w:color="auto" w:fill="CCEEFF"/>
          </w:tcPr>
          <w:p>
            <w:pPr>
              <w:spacing w:after="0"/>
              <w:rPr>
                <w:sz w:val="14"/>
                <w:szCs w:val="14"/>
                <w:color w:val="auto"/>
              </w:rPr>
            </w:pPr>
          </w:p>
        </w:tc>
      </w:tr>
      <w:tr>
        <w:trPr>
          <w:trHeight w:val="185"/>
        </w:trPr>
        <w:tc>
          <w:tcPr>
            <w:tcW w:w="7680" w:type="dxa"/>
            <w:vAlign w:val="bottom"/>
          </w:tcPr>
          <w:p>
            <w:pPr>
              <w:ind w:left="20"/>
              <w:spacing w:after="0"/>
              <w:rPr>
                <w:sz w:val="20"/>
                <w:szCs w:val="20"/>
                <w:color w:val="auto"/>
              </w:rPr>
            </w:pPr>
            <w:r>
              <w:rPr>
                <w:rFonts w:ascii="Arial" w:cs="Arial" w:eastAsia="Arial" w:hAnsi="Arial"/>
                <w:sz w:val="14"/>
                <w:szCs w:val="14"/>
                <w:color w:val="auto"/>
              </w:rPr>
              <w:t>Net income</w:t>
            </w:r>
          </w:p>
        </w:tc>
        <w:tc>
          <w:tcPr>
            <w:tcW w:w="880" w:type="dxa"/>
            <w:vAlign w:val="bottom"/>
          </w:tcPr>
          <w:p>
            <w:pPr>
              <w:jc w:val="right"/>
              <w:ind w:right="732"/>
              <w:spacing w:after="0"/>
              <w:rPr>
                <w:sz w:val="20"/>
                <w:szCs w:val="20"/>
                <w:color w:val="auto"/>
              </w:rPr>
            </w:pPr>
            <w:r>
              <w:rPr>
                <w:rFonts w:ascii="Arial" w:cs="Arial" w:eastAsia="Arial" w:hAnsi="Arial"/>
                <w:sz w:val="14"/>
                <w:szCs w:val="14"/>
                <w:color w:val="auto"/>
                <w:w w:val="76"/>
              </w:rPr>
              <w:t>$</w:t>
            </w:r>
          </w:p>
        </w:tc>
        <w:tc>
          <w:tcPr>
            <w:tcW w:w="480" w:type="dxa"/>
            <w:vAlign w:val="bottom"/>
          </w:tcPr>
          <w:p>
            <w:pPr>
              <w:jc w:val="right"/>
              <w:spacing w:after="0"/>
              <w:rPr>
                <w:sz w:val="20"/>
                <w:szCs w:val="20"/>
                <w:color w:val="auto"/>
              </w:rPr>
            </w:pPr>
            <w:r>
              <w:rPr>
                <w:rFonts w:ascii="Arial" w:cs="Arial" w:eastAsia="Arial" w:hAnsi="Arial"/>
                <w:sz w:val="14"/>
                <w:szCs w:val="14"/>
                <w:color w:val="auto"/>
              </w:rPr>
              <w:t>161</w:t>
            </w:r>
          </w:p>
        </w:tc>
        <w:tc>
          <w:tcPr>
            <w:tcW w:w="1000" w:type="dxa"/>
            <w:vAlign w:val="bottom"/>
            <w:gridSpan w:val="2"/>
          </w:tcPr>
          <w:p>
            <w:pPr>
              <w:jc w:val="right"/>
              <w:ind w:right="820"/>
              <w:spacing w:after="0"/>
              <w:rPr>
                <w:sz w:val="20"/>
                <w:szCs w:val="20"/>
                <w:color w:val="auto"/>
              </w:rPr>
            </w:pPr>
            <w:r>
              <w:rPr>
                <w:rFonts w:ascii="Arial" w:cs="Arial" w:eastAsia="Arial" w:hAnsi="Arial"/>
                <w:sz w:val="14"/>
                <w:szCs w:val="14"/>
                <w:color w:val="auto"/>
              </w:rPr>
              <w:t>$</w:t>
            </w:r>
          </w:p>
        </w:tc>
        <w:tc>
          <w:tcPr>
            <w:tcW w:w="460" w:type="dxa"/>
            <w:vAlign w:val="bottom"/>
          </w:tcPr>
          <w:p>
            <w:pPr>
              <w:jc w:val="right"/>
              <w:spacing w:after="0"/>
              <w:rPr>
                <w:sz w:val="20"/>
                <w:szCs w:val="20"/>
                <w:color w:val="auto"/>
              </w:rPr>
            </w:pPr>
            <w:r>
              <w:rPr>
                <w:rFonts w:ascii="Arial" w:cs="Arial" w:eastAsia="Arial" w:hAnsi="Arial"/>
                <w:sz w:val="14"/>
                <w:szCs w:val="14"/>
                <w:color w:val="auto"/>
              </w:rPr>
              <w:t>146</w:t>
            </w:r>
          </w:p>
        </w:tc>
      </w:tr>
      <w:tr>
        <w:trPr>
          <w:trHeight w:val="190"/>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Adjustments to reconcile net income to net cash provided by operating activities: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spacing w:after="0"/>
              <w:rPr>
                <w:sz w:val="16"/>
                <w:szCs w:val="16"/>
                <w:color w:val="auto"/>
              </w:rPr>
            </w:pP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Depreciation, amortization and accretion</w:t>
            </w:r>
          </w:p>
        </w:tc>
        <w:tc>
          <w:tcPr>
            <w:tcW w:w="880" w:type="dxa"/>
            <w:vAlign w:val="bottom"/>
          </w:tcPr>
          <w:p>
            <w:pPr>
              <w:spacing w:after="0"/>
              <w:rPr>
                <w:sz w:val="16"/>
                <w:szCs w:val="16"/>
                <w:color w:val="auto"/>
              </w:rPr>
            </w:pPr>
          </w:p>
        </w:tc>
        <w:tc>
          <w:tcPr>
            <w:tcW w:w="480" w:type="dxa"/>
            <w:vAlign w:val="bottom"/>
          </w:tcPr>
          <w:p>
            <w:pPr>
              <w:jc w:val="right"/>
              <w:ind w:right="10"/>
              <w:spacing w:after="0"/>
              <w:rPr>
                <w:sz w:val="20"/>
                <w:szCs w:val="20"/>
                <w:color w:val="auto"/>
              </w:rPr>
            </w:pPr>
            <w:r>
              <w:rPr>
                <w:rFonts w:ascii="Arial" w:cs="Arial" w:eastAsia="Arial" w:hAnsi="Arial"/>
                <w:sz w:val="14"/>
                <w:szCs w:val="14"/>
                <w:color w:val="auto"/>
              </w:rPr>
              <w:t>33</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38</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Stock-based compensation expense</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165</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152</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Deferred income taxes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(30)</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(22)</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Lease-related asset impairments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Other</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(11)</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27</w:t>
            </w:r>
          </w:p>
        </w:tc>
      </w:tr>
      <w:tr>
        <w:trPr>
          <w:trHeight w:val="190"/>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Changes in operating assets and liabilities, net of business combinations: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spacing w:after="0"/>
              <w:rPr>
                <w:sz w:val="16"/>
                <w:szCs w:val="16"/>
                <w:color w:val="auto"/>
              </w:rPr>
            </w:pP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Accounts receivable</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630</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332</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Prepaid expenses and other assets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(32)</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(23)</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Accounts payable and other liabilities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(168)</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(218)</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Deferred revenue</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(98)</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(38)</w:t>
            </w:r>
          </w:p>
        </w:tc>
      </w:tr>
      <w:tr>
        <w:trPr>
          <w:trHeight w:val="185"/>
        </w:trPr>
        <w:tc>
          <w:tcPr>
            <w:tcW w:w="768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Accrued income taxes</w:t>
            </w:r>
          </w:p>
        </w:tc>
        <w:tc>
          <w:tcPr>
            <w:tcW w:w="88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73</w:t>
            </w:r>
          </w:p>
        </w:tc>
        <w:tc>
          <w:tcPr>
            <w:tcW w:w="100" w:type="dxa"/>
            <w:vAlign w:val="bottom"/>
            <w:tcBorders>
              <w:bottom w:val="single" w:sz="8" w:color="CCEEFF"/>
            </w:tcBorders>
          </w:tcPr>
          <w:p>
            <w:pPr>
              <w:spacing w:after="0"/>
              <w:rPr>
                <w:sz w:val="16"/>
                <w:szCs w:val="16"/>
                <w:color w:val="auto"/>
              </w:rPr>
            </w:pPr>
          </w:p>
        </w:tc>
        <w:tc>
          <w:tcPr>
            <w:tcW w:w="9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38</w:t>
            </w:r>
          </w:p>
        </w:tc>
      </w:tr>
      <w:tr>
        <w:trPr>
          <w:trHeight w:val="182"/>
        </w:trPr>
        <w:tc>
          <w:tcPr>
            <w:tcW w:w="7680" w:type="dxa"/>
            <w:vAlign w:val="bottom"/>
            <w:shd w:val="clear" w:color="auto" w:fill="CCEEFF"/>
          </w:tcPr>
          <w:p>
            <w:pPr>
              <w:ind w:left="640"/>
              <w:spacing w:after="0"/>
              <w:rPr>
                <w:sz w:val="20"/>
                <w:szCs w:val="20"/>
                <w:color w:val="auto"/>
              </w:rPr>
            </w:pPr>
            <w:r>
              <w:rPr>
                <w:rFonts w:ascii="Arial" w:cs="Arial" w:eastAsia="Arial" w:hAnsi="Arial"/>
                <w:sz w:val="14"/>
                <w:szCs w:val="14"/>
                <w:color w:val="auto"/>
              </w:rPr>
              <w:t>Net cash provided by operating activities</w:t>
            </w:r>
          </w:p>
        </w:tc>
        <w:tc>
          <w:tcPr>
            <w:tcW w:w="880" w:type="dxa"/>
            <w:vAlign w:val="bottom"/>
            <w:tcBorders>
              <w:bottom w:val="single" w:sz="8" w:color="auto"/>
            </w:tcBorders>
            <w:shd w:val="clear" w:color="auto" w:fill="CCEEFF"/>
          </w:tcPr>
          <w:p>
            <w:pPr>
              <w:spacing w:after="0"/>
              <w:rPr>
                <w:sz w:val="15"/>
                <w:szCs w:val="15"/>
                <w:color w:val="auto"/>
              </w:rPr>
            </w:pPr>
          </w:p>
        </w:tc>
        <w:tc>
          <w:tcPr>
            <w:tcW w:w="4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723</w:t>
            </w:r>
          </w:p>
        </w:tc>
        <w:tc>
          <w:tcPr>
            <w:tcW w:w="100" w:type="dxa"/>
            <w:vAlign w:val="bottom"/>
            <w:shd w:val="clear" w:color="auto" w:fill="CCEEFF"/>
          </w:tcPr>
          <w:p>
            <w:pPr>
              <w:spacing w:after="0"/>
              <w:rPr>
                <w:sz w:val="15"/>
                <w:szCs w:val="15"/>
                <w:color w:val="auto"/>
              </w:rPr>
            </w:pPr>
          </w:p>
        </w:tc>
        <w:tc>
          <w:tcPr>
            <w:tcW w:w="900" w:type="dxa"/>
            <w:vAlign w:val="bottom"/>
            <w:tcBorders>
              <w:bottom w:val="single" w:sz="8" w:color="auto"/>
            </w:tcBorders>
            <w:shd w:val="clear" w:color="auto" w:fill="CCEEFF"/>
          </w:tcPr>
          <w:p>
            <w:pPr>
              <w:spacing w:after="0"/>
              <w:rPr>
                <w:sz w:val="15"/>
                <w:szCs w:val="15"/>
                <w:color w:val="auto"/>
              </w:rPr>
            </w:pPr>
          </w:p>
        </w:tc>
        <w:tc>
          <w:tcPr>
            <w:tcW w:w="4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434</w:t>
            </w:r>
          </w:p>
        </w:tc>
      </w:tr>
      <w:tr>
        <w:trPr>
          <w:trHeight w:val="165"/>
        </w:trPr>
        <w:tc>
          <w:tcPr>
            <w:tcW w:w="7680" w:type="dxa"/>
            <w:vAlign w:val="bottom"/>
          </w:tcPr>
          <w:p>
            <w:pPr>
              <w:ind w:left="20"/>
              <w:spacing w:after="0"/>
              <w:rPr>
                <w:sz w:val="20"/>
                <w:szCs w:val="20"/>
                <w:color w:val="auto"/>
              </w:rPr>
            </w:pPr>
            <w:r>
              <w:rPr>
                <w:rFonts w:ascii="Arial" w:cs="Arial" w:eastAsia="Arial" w:hAnsi="Arial"/>
                <w:sz w:val="14"/>
                <w:szCs w:val="14"/>
                <w:color w:val="auto"/>
              </w:rPr>
              <w:t>Investing activities:</w:t>
            </w:r>
          </w:p>
        </w:tc>
        <w:tc>
          <w:tcPr>
            <w:tcW w:w="88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460" w:type="dxa"/>
            <w:vAlign w:val="bottom"/>
          </w:tcPr>
          <w:p>
            <w:pPr>
              <w:spacing w:after="0"/>
              <w:rPr>
                <w:sz w:val="14"/>
                <w:szCs w:val="14"/>
                <w:color w:val="auto"/>
              </w:rPr>
            </w:pP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Purchases of marketable securities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(342)</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(29)</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Sales and maturities of marketable securities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163</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202</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Capital expenditures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Purchases of intangible assets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(6)</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(4)</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Business combinations, net of cash acquired</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(26)</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(96)</w:t>
            </w:r>
          </w:p>
        </w:tc>
      </w:tr>
      <w:tr>
        <w:trPr>
          <w:trHeight w:val="185"/>
        </w:trPr>
        <w:tc>
          <w:tcPr>
            <w:tcW w:w="768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Other investing activities</w:t>
            </w:r>
          </w:p>
        </w:tc>
        <w:tc>
          <w:tcPr>
            <w:tcW w:w="88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(10)</w:t>
            </w:r>
          </w:p>
        </w:tc>
        <w:tc>
          <w:tcPr>
            <w:tcW w:w="100" w:type="dxa"/>
            <w:vAlign w:val="bottom"/>
            <w:tcBorders>
              <w:bottom w:val="single" w:sz="8" w:color="CCEEFF"/>
            </w:tcBorders>
          </w:tcPr>
          <w:p>
            <w:pPr>
              <w:spacing w:after="0"/>
              <w:rPr>
                <w:sz w:val="16"/>
                <w:szCs w:val="16"/>
                <w:color w:val="auto"/>
              </w:rPr>
            </w:pPr>
          </w:p>
        </w:tc>
        <w:tc>
          <w:tcPr>
            <w:tcW w:w="9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(30)</w:t>
            </w:r>
          </w:p>
        </w:tc>
      </w:tr>
      <w:tr>
        <w:trPr>
          <w:trHeight w:val="182"/>
        </w:trPr>
        <w:tc>
          <w:tcPr>
            <w:tcW w:w="7680" w:type="dxa"/>
            <w:vAlign w:val="bottom"/>
            <w:shd w:val="clear" w:color="auto" w:fill="CCEEFF"/>
          </w:tcPr>
          <w:p>
            <w:pPr>
              <w:ind w:left="640"/>
              <w:spacing w:after="0"/>
              <w:rPr>
                <w:sz w:val="20"/>
                <w:szCs w:val="20"/>
                <w:color w:val="auto"/>
              </w:rPr>
            </w:pPr>
            <w:r>
              <w:rPr>
                <w:rFonts w:ascii="Arial" w:cs="Arial" w:eastAsia="Arial" w:hAnsi="Arial"/>
                <w:sz w:val="14"/>
                <w:szCs w:val="14"/>
                <w:color w:val="auto"/>
              </w:rPr>
              <w:t>Net cash (used in) provided by investing activities</w:t>
            </w:r>
          </w:p>
        </w:tc>
        <w:tc>
          <w:tcPr>
            <w:tcW w:w="880" w:type="dxa"/>
            <w:vAlign w:val="bottom"/>
            <w:tcBorders>
              <w:bottom w:val="single" w:sz="8" w:color="auto"/>
            </w:tcBorders>
            <w:shd w:val="clear" w:color="auto" w:fill="CCEEFF"/>
          </w:tcPr>
          <w:p>
            <w:pPr>
              <w:spacing w:after="0"/>
              <w:rPr>
                <w:sz w:val="15"/>
                <w:szCs w:val="15"/>
                <w:color w:val="auto"/>
              </w:rPr>
            </w:pPr>
          </w:p>
        </w:tc>
        <w:tc>
          <w:tcPr>
            <w:tcW w:w="4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(230)</w:t>
            </w:r>
          </w:p>
        </w:tc>
        <w:tc>
          <w:tcPr>
            <w:tcW w:w="100" w:type="dxa"/>
            <w:vAlign w:val="bottom"/>
            <w:shd w:val="clear" w:color="auto" w:fill="CCEEFF"/>
          </w:tcPr>
          <w:p>
            <w:pPr>
              <w:spacing w:after="0"/>
              <w:rPr>
                <w:sz w:val="15"/>
                <w:szCs w:val="15"/>
                <w:color w:val="auto"/>
              </w:rPr>
            </w:pPr>
          </w:p>
        </w:tc>
        <w:tc>
          <w:tcPr>
            <w:tcW w:w="900" w:type="dxa"/>
            <w:vAlign w:val="bottom"/>
            <w:tcBorders>
              <w:bottom w:val="single" w:sz="8" w:color="auto"/>
            </w:tcBorders>
            <w:shd w:val="clear" w:color="auto" w:fill="CCEEFF"/>
          </w:tcPr>
          <w:p>
            <w:pPr>
              <w:spacing w:after="0"/>
              <w:rPr>
                <w:sz w:val="15"/>
                <w:szCs w:val="15"/>
                <w:color w:val="auto"/>
              </w:rPr>
            </w:pPr>
          </w:p>
        </w:tc>
        <w:tc>
          <w:tcPr>
            <w:tcW w:w="4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31</w:t>
            </w:r>
          </w:p>
        </w:tc>
      </w:tr>
      <w:tr>
        <w:trPr>
          <w:trHeight w:val="165"/>
        </w:trPr>
        <w:tc>
          <w:tcPr>
            <w:tcW w:w="7680" w:type="dxa"/>
            <w:vAlign w:val="bottom"/>
          </w:tcPr>
          <w:p>
            <w:pPr>
              <w:ind w:left="20"/>
              <w:spacing w:after="0"/>
              <w:rPr>
                <w:sz w:val="20"/>
                <w:szCs w:val="20"/>
                <w:color w:val="auto"/>
              </w:rPr>
            </w:pPr>
            <w:r>
              <w:rPr>
                <w:rFonts w:ascii="Arial" w:cs="Arial" w:eastAsia="Arial" w:hAnsi="Arial"/>
                <w:sz w:val="14"/>
                <w:szCs w:val="14"/>
                <w:color w:val="auto"/>
              </w:rPr>
              <w:t>Financing activities:</w:t>
            </w:r>
          </w:p>
        </w:tc>
        <w:tc>
          <w:tcPr>
            <w:tcW w:w="88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460" w:type="dxa"/>
            <w:vAlign w:val="bottom"/>
          </w:tcPr>
          <w:p>
            <w:pPr>
              <w:spacing w:after="0"/>
              <w:rPr>
                <w:sz w:val="14"/>
                <w:szCs w:val="14"/>
                <w:color w:val="auto"/>
              </w:rPr>
            </w:pP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Proceeds from issuance of common stock, net of issuance costs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71</w:t>
            </w: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67</w:t>
            </w: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Taxes paid related to net share settlement of equity awards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(82)</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(70)</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Repurchases of common stock</w:t>
            </w:r>
          </w:p>
        </w:tc>
        <w:tc>
          <w:tcPr>
            <w:tcW w:w="880" w:type="dxa"/>
            <w:vAlign w:val="bottom"/>
            <w:tcBorders>
              <w:bottom w:val="single" w:sz="8" w:color="auto"/>
            </w:tcBorders>
            <w:shd w:val="clear" w:color="auto" w:fill="CCEEFF"/>
          </w:tcPr>
          <w:p>
            <w:pPr>
              <w:spacing w:after="0"/>
              <w:rPr>
                <w:sz w:val="16"/>
                <w:szCs w:val="16"/>
                <w:color w:val="auto"/>
              </w:rPr>
            </w:pPr>
          </w:p>
        </w:tc>
        <w:tc>
          <w:tcPr>
            <w:tcW w:w="4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(512)</w:t>
            </w:r>
          </w:p>
        </w:tc>
        <w:tc>
          <w:tcPr>
            <w:tcW w:w="100" w:type="dxa"/>
            <w:vAlign w:val="bottom"/>
            <w:shd w:val="clear" w:color="auto" w:fill="CCEEFF"/>
          </w:tcPr>
          <w:p>
            <w:pPr>
              <w:spacing w:after="0"/>
              <w:rPr>
                <w:sz w:val="16"/>
                <w:szCs w:val="16"/>
                <w:color w:val="auto"/>
              </w:rPr>
            </w:pPr>
          </w:p>
        </w:tc>
        <w:tc>
          <w:tcPr>
            <w:tcW w:w="900" w:type="dxa"/>
            <w:vAlign w:val="bottom"/>
            <w:tcBorders>
              <w:bottom w:val="single" w:sz="8" w:color="auto"/>
            </w:tcBorders>
            <w:shd w:val="clear" w:color="auto" w:fill="CCEEFF"/>
          </w:tcPr>
          <w:p>
            <w:pPr>
              <w:spacing w:after="0"/>
              <w:rPr>
                <w:sz w:val="16"/>
                <w:szCs w:val="16"/>
                <w:color w:val="auto"/>
              </w:rPr>
            </w:pPr>
          </w:p>
        </w:tc>
        <w:tc>
          <w:tcPr>
            <w:tcW w:w="4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(457)</w:t>
            </w:r>
          </w:p>
        </w:tc>
      </w:tr>
      <w:tr>
        <w:trPr>
          <w:trHeight w:val="177"/>
        </w:trPr>
        <w:tc>
          <w:tcPr>
            <w:tcW w:w="7680" w:type="dxa"/>
            <w:vAlign w:val="bottom"/>
            <w:tcBorders>
              <w:bottom w:val="single" w:sz="8" w:color="CCEEFF"/>
            </w:tcBorders>
          </w:tcPr>
          <w:p>
            <w:pPr>
              <w:ind w:left="640"/>
              <w:spacing w:after="0"/>
              <w:rPr>
                <w:sz w:val="20"/>
                <w:szCs w:val="20"/>
                <w:color w:val="auto"/>
              </w:rPr>
            </w:pPr>
            <w:r>
              <w:rPr>
                <w:rFonts w:ascii="Arial" w:cs="Arial" w:eastAsia="Arial" w:hAnsi="Arial"/>
                <w:sz w:val="14"/>
                <w:szCs w:val="14"/>
                <w:color w:val="auto"/>
              </w:rPr>
              <w:t>Net cash used in financing activities</w:t>
            </w:r>
          </w:p>
        </w:tc>
        <w:tc>
          <w:tcPr>
            <w:tcW w:w="880" w:type="dxa"/>
            <w:vAlign w:val="bottom"/>
            <w:tcBorders>
              <w:bottom w:val="single" w:sz="8" w:color="auto"/>
            </w:tcBorders>
          </w:tcPr>
          <w:p>
            <w:pPr>
              <w:spacing w:after="0"/>
              <w:rPr>
                <w:sz w:val="15"/>
                <w:szCs w:val="15"/>
                <w:color w:val="auto"/>
              </w:rPr>
            </w:pPr>
          </w:p>
        </w:tc>
        <w:tc>
          <w:tcPr>
            <w:tcW w:w="4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(523)</w:t>
            </w:r>
          </w:p>
        </w:tc>
        <w:tc>
          <w:tcPr>
            <w:tcW w:w="100" w:type="dxa"/>
            <w:vAlign w:val="bottom"/>
            <w:tcBorders>
              <w:bottom w:val="single" w:sz="8" w:color="CCEEFF"/>
            </w:tcBorders>
          </w:tcPr>
          <w:p>
            <w:pPr>
              <w:spacing w:after="0"/>
              <w:rPr>
                <w:sz w:val="15"/>
                <w:szCs w:val="15"/>
                <w:color w:val="auto"/>
              </w:rPr>
            </w:pPr>
          </w:p>
        </w:tc>
        <w:tc>
          <w:tcPr>
            <w:tcW w:w="900" w:type="dxa"/>
            <w:vAlign w:val="bottom"/>
            <w:tcBorders>
              <w:bottom w:val="single" w:sz="8" w:color="auto"/>
            </w:tcBorders>
          </w:tcPr>
          <w:p>
            <w:pPr>
              <w:spacing w:after="0"/>
              <w:rPr>
                <w:sz w:val="15"/>
                <w:szCs w:val="15"/>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(460)</w:t>
            </w:r>
          </w:p>
        </w:tc>
      </w:tr>
      <w:tr>
        <w:trPr>
          <w:trHeight w:val="182"/>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Effect of exchange rate changes on cash and cash equivalents</w:t>
            </w:r>
          </w:p>
        </w:tc>
        <w:tc>
          <w:tcPr>
            <w:tcW w:w="880" w:type="dxa"/>
            <w:vAlign w:val="bottom"/>
            <w:shd w:val="clear" w:color="auto" w:fill="CCEEFF"/>
          </w:tcPr>
          <w:p>
            <w:pPr>
              <w:spacing w:after="0"/>
              <w:rPr>
                <w:sz w:val="15"/>
                <w:szCs w:val="15"/>
                <w:color w:val="auto"/>
              </w:rPr>
            </w:pP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w:t>
            </w:r>
          </w:p>
        </w:tc>
        <w:tc>
          <w:tcPr>
            <w:tcW w:w="100" w:type="dxa"/>
            <w:vAlign w:val="bottom"/>
            <w:shd w:val="clear" w:color="auto" w:fill="CCEEFF"/>
          </w:tcPr>
          <w:p>
            <w:pPr>
              <w:spacing w:after="0"/>
              <w:rPr>
                <w:sz w:val="15"/>
                <w:szCs w:val="15"/>
                <w:color w:val="auto"/>
              </w:rPr>
            </w:pPr>
          </w:p>
        </w:tc>
        <w:tc>
          <w:tcPr>
            <w:tcW w:w="900" w:type="dxa"/>
            <w:vAlign w:val="bottom"/>
            <w:shd w:val="clear" w:color="auto" w:fill="CCEEFF"/>
          </w:tcPr>
          <w:p>
            <w:pPr>
              <w:spacing w:after="0"/>
              <w:rPr>
                <w:sz w:val="15"/>
                <w:szCs w:val="15"/>
                <w:color w:val="auto"/>
              </w:rPr>
            </w:pP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(15)</w:t>
            </w:r>
          </w:p>
        </w:tc>
      </w:tr>
      <w:tr>
        <w:trPr>
          <w:trHeight w:val="185"/>
        </w:trPr>
        <w:tc>
          <w:tcPr>
            <w:tcW w:w="7680" w:type="dxa"/>
            <w:vAlign w:val="bottom"/>
          </w:tcPr>
          <w:p>
            <w:pPr>
              <w:ind w:left="20"/>
              <w:spacing w:after="0"/>
              <w:rPr>
                <w:sz w:val="20"/>
                <w:szCs w:val="20"/>
                <w:color w:val="auto"/>
              </w:rPr>
            </w:pPr>
            <w:r>
              <w:rPr>
                <w:rFonts w:ascii="Arial" w:cs="Arial" w:eastAsia="Arial" w:hAnsi="Arial"/>
                <w:sz w:val="14"/>
                <w:szCs w:val="14"/>
                <w:color w:val="auto"/>
              </w:rPr>
              <w:t>Net decrease in cash and cash equivalents</w:t>
            </w:r>
          </w:p>
        </w:tc>
        <w:tc>
          <w:tcPr>
            <w:tcW w:w="880" w:type="dxa"/>
            <w:vAlign w:val="bottom"/>
          </w:tcPr>
          <w:p>
            <w:pPr>
              <w:spacing w:after="0"/>
              <w:rPr>
                <w:sz w:val="16"/>
                <w:szCs w:val="16"/>
                <w:color w:val="auto"/>
              </w:rPr>
            </w:pPr>
          </w:p>
        </w:tc>
        <w:tc>
          <w:tcPr>
            <w:tcW w:w="480" w:type="dxa"/>
            <w:vAlign w:val="bottom"/>
          </w:tcPr>
          <w:p>
            <w:pPr>
              <w:jc w:val="right"/>
              <w:spacing w:after="0"/>
              <w:rPr>
                <w:sz w:val="20"/>
                <w:szCs w:val="20"/>
                <w:color w:val="auto"/>
              </w:rPr>
            </w:pPr>
            <w:r>
              <w:rPr>
                <w:rFonts w:ascii="Arial" w:cs="Arial" w:eastAsia="Arial" w:hAnsi="Arial"/>
                <w:sz w:val="14"/>
                <w:szCs w:val="14"/>
                <w:color w:val="auto"/>
              </w:rPr>
              <w:t>(38)</w:t>
            </w: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jc w:val="right"/>
              <w:spacing w:after="0"/>
              <w:rPr>
                <w:sz w:val="20"/>
                <w:szCs w:val="20"/>
                <w:color w:val="auto"/>
              </w:rPr>
            </w:pPr>
            <w:r>
              <w:rPr>
                <w:rFonts w:ascii="Arial" w:cs="Arial" w:eastAsia="Arial" w:hAnsi="Arial"/>
                <w:sz w:val="14"/>
                <w:szCs w:val="14"/>
                <w:color w:val="auto"/>
              </w:rPr>
              <w:t>(10)</w:t>
            </w:r>
          </w:p>
        </w:tc>
      </w:tr>
      <w:tr>
        <w:trPr>
          <w:trHeight w:val="190"/>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Cash and cash equivalents at beginning of period</w:t>
            </w:r>
          </w:p>
        </w:tc>
        <w:tc>
          <w:tcPr>
            <w:tcW w:w="880" w:type="dxa"/>
            <w:vAlign w:val="bottom"/>
            <w:tcBorders>
              <w:bottom w:val="single" w:sz="8" w:color="auto"/>
            </w:tcBorders>
            <w:shd w:val="clear" w:color="auto" w:fill="CCEEFF"/>
          </w:tcPr>
          <w:p>
            <w:pPr>
              <w:spacing w:after="0"/>
              <w:rPr>
                <w:sz w:val="16"/>
                <w:szCs w:val="16"/>
                <w:color w:val="auto"/>
              </w:rPr>
            </w:pPr>
          </w:p>
        </w:tc>
        <w:tc>
          <w:tcPr>
            <w:tcW w:w="4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1,947</w:t>
            </w:r>
          </w:p>
        </w:tc>
        <w:tc>
          <w:tcPr>
            <w:tcW w:w="100" w:type="dxa"/>
            <w:vAlign w:val="bottom"/>
            <w:shd w:val="clear" w:color="auto" w:fill="CCEEFF"/>
          </w:tcPr>
          <w:p>
            <w:pPr>
              <w:spacing w:after="0"/>
              <w:rPr>
                <w:sz w:val="16"/>
                <w:szCs w:val="16"/>
                <w:color w:val="auto"/>
              </w:rPr>
            </w:pPr>
          </w:p>
        </w:tc>
        <w:tc>
          <w:tcPr>
            <w:tcW w:w="900" w:type="dxa"/>
            <w:vAlign w:val="bottom"/>
            <w:tcBorders>
              <w:bottom w:val="single" w:sz="8" w:color="auto"/>
            </w:tcBorders>
            <w:shd w:val="clear" w:color="auto" w:fill="CCEEFF"/>
          </w:tcPr>
          <w:p>
            <w:pPr>
              <w:spacing w:after="0"/>
              <w:rPr>
                <w:sz w:val="16"/>
                <w:szCs w:val="16"/>
                <w:color w:val="auto"/>
              </w:rPr>
            </w:pPr>
          </w:p>
        </w:tc>
        <w:tc>
          <w:tcPr>
            <w:tcW w:w="4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1,528</w:t>
            </w:r>
          </w:p>
        </w:tc>
      </w:tr>
      <w:tr>
        <w:trPr>
          <w:trHeight w:val="177"/>
        </w:trPr>
        <w:tc>
          <w:tcPr>
            <w:tcW w:w="7680" w:type="dxa"/>
            <w:vAlign w:val="bottom"/>
          </w:tcPr>
          <w:p>
            <w:pPr>
              <w:ind w:left="20"/>
              <w:spacing w:after="0"/>
              <w:rPr>
                <w:sz w:val="20"/>
                <w:szCs w:val="20"/>
                <w:color w:val="auto"/>
              </w:rPr>
            </w:pPr>
            <w:r>
              <w:rPr>
                <w:rFonts w:ascii="Arial" w:cs="Arial" w:eastAsia="Arial" w:hAnsi="Arial"/>
                <w:sz w:val="14"/>
                <w:szCs w:val="14"/>
                <w:color w:val="auto"/>
              </w:rPr>
              <w:t>Cash and cash equivalents at end of period</w:t>
            </w:r>
          </w:p>
        </w:tc>
        <w:tc>
          <w:tcPr>
            <w:tcW w:w="880" w:type="dxa"/>
            <w:vAlign w:val="bottom"/>
          </w:tcPr>
          <w:p>
            <w:pPr>
              <w:jc w:val="right"/>
              <w:ind w:right="732"/>
              <w:spacing w:after="0"/>
              <w:rPr>
                <w:sz w:val="20"/>
                <w:szCs w:val="20"/>
                <w:color w:val="auto"/>
              </w:rPr>
            </w:pPr>
            <w:r>
              <w:rPr>
                <w:rFonts w:ascii="Arial" w:cs="Arial" w:eastAsia="Arial" w:hAnsi="Arial"/>
                <w:sz w:val="14"/>
                <w:szCs w:val="14"/>
                <w:color w:val="auto"/>
                <w:w w:val="76"/>
              </w:rPr>
              <w:t>$</w:t>
            </w:r>
          </w:p>
        </w:tc>
        <w:tc>
          <w:tcPr>
            <w:tcW w:w="480" w:type="dxa"/>
            <w:vAlign w:val="bottom"/>
          </w:tcPr>
          <w:p>
            <w:pPr>
              <w:jc w:val="right"/>
              <w:spacing w:after="0"/>
              <w:rPr>
                <w:sz w:val="20"/>
                <w:szCs w:val="20"/>
                <w:color w:val="auto"/>
              </w:rPr>
            </w:pPr>
            <w:r>
              <w:rPr>
                <w:rFonts w:ascii="Arial" w:cs="Arial" w:eastAsia="Arial" w:hAnsi="Arial"/>
                <w:sz w:val="14"/>
                <w:szCs w:val="14"/>
                <w:color w:val="auto"/>
              </w:rPr>
              <w:t>1,909</w:t>
            </w:r>
          </w:p>
        </w:tc>
        <w:tc>
          <w:tcPr>
            <w:tcW w:w="1000" w:type="dxa"/>
            <w:vAlign w:val="bottom"/>
            <w:gridSpan w:val="2"/>
          </w:tcPr>
          <w:p>
            <w:pPr>
              <w:jc w:val="right"/>
              <w:ind w:right="820"/>
              <w:spacing w:after="0"/>
              <w:rPr>
                <w:sz w:val="20"/>
                <w:szCs w:val="20"/>
                <w:color w:val="auto"/>
              </w:rPr>
            </w:pPr>
            <w:r>
              <w:rPr>
                <w:rFonts w:ascii="Arial" w:cs="Arial" w:eastAsia="Arial" w:hAnsi="Arial"/>
                <w:sz w:val="14"/>
                <w:szCs w:val="14"/>
                <w:color w:val="auto"/>
              </w:rPr>
              <w:t>$</w:t>
            </w:r>
          </w:p>
        </w:tc>
        <w:tc>
          <w:tcPr>
            <w:tcW w:w="460" w:type="dxa"/>
            <w:vAlign w:val="bottom"/>
          </w:tcPr>
          <w:p>
            <w:pPr>
              <w:jc w:val="right"/>
              <w:spacing w:after="0"/>
              <w:rPr>
                <w:sz w:val="20"/>
                <w:szCs w:val="20"/>
                <w:color w:val="auto"/>
              </w:rPr>
            </w:pPr>
            <w:r>
              <w:rPr>
                <w:rFonts w:ascii="Arial" w:cs="Arial" w:eastAsia="Arial" w:hAnsi="Arial"/>
                <w:sz w:val="14"/>
                <w:szCs w:val="14"/>
                <w:color w:val="auto"/>
              </w:rPr>
              <w:t>1,518</w:t>
            </w:r>
          </w:p>
        </w:tc>
      </w:tr>
      <w:tr>
        <w:trPr>
          <w:trHeight w:val="20"/>
        </w:trPr>
        <w:tc>
          <w:tcPr>
            <w:tcW w:w="7680" w:type="dxa"/>
            <w:vAlign w:val="bottom"/>
            <w:tcBorders>
              <w:bottom w:val="single" w:sz="8" w:color="CCEEFF"/>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460" w:type="dxa"/>
            <w:vAlign w:val="bottom"/>
            <w:tcBorders>
              <w:top w:val="single" w:sz="8" w:color="auto"/>
              <w:bottom w:val="single" w:sz="8" w:color="auto"/>
            </w:tcBorders>
          </w:tcPr>
          <w:p>
            <w:pPr>
              <w:spacing w:after="0" w:line="20" w:lineRule="exact"/>
              <w:rPr>
                <w:sz w:val="1"/>
                <w:szCs w:val="1"/>
                <w:color w:val="auto"/>
              </w:rPr>
            </w:pPr>
          </w:p>
        </w:tc>
      </w:tr>
      <w:tr>
        <w:trPr>
          <w:trHeight w:val="177"/>
        </w:trPr>
        <w:tc>
          <w:tcPr>
            <w:tcW w:w="7680" w:type="dxa"/>
            <w:vAlign w:val="bottom"/>
            <w:shd w:val="clear" w:color="auto" w:fill="CCEEFF"/>
          </w:tcPr>
          <w:p>
            <w:pPr>
              <w:spacing w:after="0"/>
              <w:rPr>
                <w:sz w:val="15"/>
                <w:szCs w:val="15"/>
                <w:color w:val="auto"/>
              </w:rPr>
            </w:pPr>
          </w:p>
        </w:tc>
        <w:tc>
          <w:tcPr>
            <w:tcW w:w="880" w:type="dxa"/>
            <w:vAlign w:val="bottom"/>
            <w:shd w:val="clear" w:color="auto" w:fill="CCEEFF"/>
          </w:tcPr>
          <w:p>
            <w:pPr>
              <w:spacing w:after="0"/>
              <w:rPr>
                <w:sz w:val="15"/>
                <w:szCs w:val="15"/>
                <w:color w:val="auto"/>
              </w:rPr>
            </w:pPr>
          </w:p>
        </w:tc>
        <w:tc>
          <w:tcPr>
            <w:tcW w:w="48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900" w:type="dxa"/>
            <w:vAlign w:val="bottom"/>
            <w:shd w:val="clear" w:color="auto" w:fill="CCEEFF"/>
          </w:tcPr>
          <w:p>
            <w:pPr>
              <w:spacing w:after="0"/>
              <w:rPr>
                <w:sz w:val="15"/>
                <w:szCs w:val="15"/>
                <w:color w:val="auto"/>
              </w:rPr>
            </w:pPr>
          </w:p>
        </w:tc>
        <w:tc>
          <w:tcPr>
            <w:tcW w:w="460" w:type="dxa"/>
            <w:vAlign w:val="bottom"/>
            <w:shd w:val="clear" w:color="auto" w:fill="CCEEFF"/>
          </w:tcPr>
          <w:p>
            <w:pPr>
              <w:spacing w:after="0"/>
              <w:rPr>
                <w:sz w:val="15"/>
                <w:szCs w:val="15"/>
                <w:color w:val="auto"/>
              </w:rPr>
            </w:pPr>
          </w:p>
        </w:tc>
      </w:tr>
      <w:tr>
        <w:trPr>
          <w:trHeight w:val="185"/>
        </w:trPr>
        <w:tc>
          <w:tcPr>
            <w:tcW w:w="7680" w:type="dxa"/>
            <w:vAlign w:val="bottom"/>
          </w:tcPr>
          <w:p>
            <w:pPr>
              <w:ind w:left="20"/>
              <w:spacing w:after="0"/>
              <w:rPr>
                <w:sz w:val="20"/>
                <w:szCs w:val="20"/>
                <w:color w:val="auto"/>
              </w:rPr>
            </w:pPr>
            <w:r>
              <w:rPr>
                <w:rFonts w:ascii="Arial" w:cs="Arial" w:eastAsia="Arial" w:hAnsi="Arial"/>
                <w:sz w:val="14"/>
                <w:szCs w:val="14"/>
                <w:color w:val="auto"/>
              </w:rPr>
              <w:t>Supplemental cash flow disclosure:</w:t>
            </w:r>
          </w:p>
        </w:tc>
        <w:tc>
          <w:tcPr>
            <w:tcW w:w="880" w:type="dxa"/>
            <w:vAlign w:val="bottom"/>
          </w:tcPr>
          <w:p>
            <w:pPr>
              <w:spacing w:after="0"/>
              <w:rPr>
                <w:sz w:val="16"/>
                <w:szCs w:val="16"/>
                <w:color w:val="auto"/>
              </w:rPr>
            </w:pPr>
          </w:p>
        </w:tc>
        <w:tc>
          <w:tcPr>
            <w:tcW w:w="4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460" w:type="dxa"/>
            <w:vAlign w:val="bottom"/>
          </w:tcPr>
          <w:p>
            <w:pPr>
              <w:spacing w:after="0"/>
              <w:rPr>
                <w:sz w:val="16"/>
                <w:szCs w:val="16"/>
                <w:color w:val="auto"/>
              </w:rPr>
            </w:pPr>
          </w:p>
        </w:tc>
      </w:tr>
      <w:tr>
        <w:trPr>
          <w:trHeight w:val="190"/>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Non-cash financing activities:</w:t>
            </w:r>
          </w:p>
        </w:tc>
        <w:tc>
          <w:tcPr>
            <w:tcW w:w="88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460" w:type="dxa"/>
            <w:vAlign w:val="bottom"/>
            <w:shd w:val="clear" w:color="auto" w:fill="CCEEFF"/>
          </w:tcPr>
          <w:p>
            <w:pPr>
              <w:spacing w:after="0"/>
              <w:rPr>
                <w:sz w:val="16"/>
                <w:szCs w:val="16"/>
                <w:color w:val="auto"/>
              </w:rPr>
            </w:pPr>
          </w:p>
        </w:tc>
      </w:tr>
      <w:tr>
        <w:trPr>
          <w:trHeight w:val="185"/>
        </w:trPr>
        <w:tc>
          <w:tcPr>
            <w:tcW w:w="7680" w:type="dxa"/>
            <w:vAlign w:val="bottom"/>
          </w:tcPr>
          <w:p>
            <w:pPr>
              <w:ind w:left="300"/>
              <w:spacing w:after="0"/>
              <w:rPr>
                <w:sz w:val="20"/>
                <w:szCs w:val="20"/>
                <w:color w:val="auto"/>
              </w:rPr>
            </w:pPr>
            <w:r>
              <w:rPr>
                <w:rFonts w:ascii="Arial" w:cs="Arial" w:eastAsia="Arial" w:hAnsi="Arial"/>
                <w:sz w:val="14"/>
                <w:szCs w:val="14"/>
                <w:color w:val="auto"/>
              </w:rPr>
              <w:t>Fair value of common stock issued to settle liability-classified restricted common stock</w:t>
            </w:r>
          </w:p>
        </w:tc>
        <w:tc>
          <w:tcPr>
            <w:tcW w:w="880" w:type="dxa"/>
            <w:vAlign w:val="bottom"/>
          </w:tcPr>
          <w:p>
            <w:pPr>
              <w:jc w:val="right"/>
              <w:ind w:right="732"/>
              <w:spacing w:after="0"/>
              <w:rPr>
                <w:sz w:val="20"/>
                <w:szCs w:val="20"/>
                <w:color w:val="auto"/>
              </w:rPr>
            </w:pPr>
            <w:r>
              <w:rPr>
                <w:rFonts w:ascii="Arial" w:cs="Arial" w:eastAsia="Arial" w:hAnsi="Arial"/>
                <w:sz w:val="14"/>
                <w:szCs w:val="14"/>
                <w:color w:val="auto"/>
                <w:w w:val="76"/>
              </w:rPr>
              <w:t>$</w:t>
            </w:r>
          </w:p>
        </w:tc>
        <w:tc>
          <w:tcPr>
            <w:tcW w:w="480" w:type="dxa"/>
            <w:vAlign w:val="bottom"/>
          </w:tcPr>
          <w:p>
            <w:pPr>
              <w:jc w:val="right"/>
              <w:spacing w:after="0"/>
              <w:rPr>
                <w:sz w:val="20"/>
                <w:szCs w:val="20"/>
                <w:color w:val="auto"/>
              </w:rPr>
            </w:pPr>
            <w:r>
              <w:rPr>
                <w:rFonts w:ascii="Arial" w:cs="Arial" w:eastAsia="Arial" w:hAnsi="Arial"/>
                <w:sz w:val="14"/>
                <w:szCs w:val="14"/>
                <w:color w:val="auto"/>
              </w:rPr>
              <w:t>1</w:t>
            </w:r>
          </w:p>
        </w:tc>
        <w:tc>
          <w:tcPr>
            <w:tcW w:w="1000" w:type="dxa"/>
            <w:vAlign w:val="bottom"/>
            <w:gridSpan w:val="2"/>
          </w:tcPr>
          <w:p>
            <w:pPr>
              <w:jc w:val="right"/>
              <w:ind w:right="820"/>
              <w:spacing w:after="0"/>
              <w:rPr>
                <w:sz w:val="20"/>
                <w:szCs w:val="20"/>
                <w:color w:val="auto"/>
              </w:rPr>
            </w:pPr>
            <w:r>
              <w:rPr>
                <w:rFonts w:ascii="Arial" w:cs="Arial" w:eastAsia="Arial" w:hAnsi="Arial"/>
                <w:sz w:val="14"/>
                <w:szCs w:val="14"/>
                <w:color w:val="auto"/>
              </w:rPr>
              <w:t>$</w:t>
            </w:r>
          </w:p>
        </w:tc>
        <w:tc>
          <w:tcPr>
            <w:tcW w:w="460" w:type="dxa"/>
            <w:vAlign w:val="bottom"/>
          </w:tcPr>
          <w:p>
            <w:pPr>
              <w:jc w:val="right"/>
              <w:spacing w:after="0"/>
              <w:rPr>
                <w:sz w:val="20"/>
                <w:szCs w:val="20"/>
                <w:color w:val="auto"/>
              </w:rPr>
            </w:pPr>
            <w:r>
              <w:rPr>
                <w:rFonts w:ascii="Arial" w:cs="Arial" w:eastAsia="Arial" w:hAnsi="Arial"/>
                <w:sz w:val="14"/>
                <w:szCs w:val="14"/>
                <w:color w:val="auto"/>
              </w:rPr>
              <w:t>—</w:t>
            </w:r>
          </w:p>
        </w:tc>
      </w:tr>
      <w:tr>
        <w:trPr>
          <w:trHeight w:val="190"/>
        </w:trPr>
        <w:tc>
          <w:tcPr>
            <w:tcW w:w="76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Fair value of common stock issued related to business combinations</w:t>
            </w:r>
          </w:p>
        </w:tc>
        <w:tc>
          <w:tcPr>
            <w:tcW w:w="880" w:type="dxa"/>
            <w:vAlign w:val="bottom"/>
            <w:shd w:val="clear" w:color="auto" w:fill="CCEEFF"/>
          </w:tcPr>
          <w:p>
            <w:pPr>
              <w:jc w:val="right"/>
              <w:ind w:right="732"/>
              <w:spacing w:after="0"/>
              <w:rPr>
                <w:sz w:val="20"/>
                <w:szCs w:val="20"/>
                <w:color w:val="auto"/>
              </w:rPr>
            </w:pPr>
            <w:r>
              <w:rPr>
                <w:rFonts w:ascii="Arial" w:cs="Arial" w:eastAsia="Arial" w:hAnsi="Arial"/>
                <w:sz w:val="14"/>
                <w:szCs w:val="14"/>
                <w:color w:val="auto"/>
                <w:w w:val="76"/>
              </w:rPr>
              <w:t>$</w:t>
            </w: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0" w:type="dxa"/>
            <w:vAlign w:val="bottom"/>
            <w:gridSpan w:val="2"/>
            <w:shd w:val="clear" w:color="auto" w:fill="CCEEFF"/>
          </w:tcPr>
          <w:p>
            <w:pPr>
              <w:jc w:val="right"/>
              <w:ind w:right="820"/>
              <w:spacing w:after="0"/>
              <w:rPr>
                <w:sz w:val="20"/>
                <w:szCs w:val="20"/>
                <w:color w:val="auto"/>
              </w:rPr>
            </w:pPr>
            <w:r>
              <w:rPr>
                <w:rFonts w:ascii="Arial" w:cs="Arial" w:eastAsia="Arial" w:hAnsi="Arial"/>
                <w:sz w:val="14"/>
                <w:szCs w:val="14"/>
                <w:color w:val="auto"/>
              </w:rPr>
              <w:t>$</w:t>
            </w:r>
          </w:p>
        </w:tc>
        <w:tc>
          <w:tcPr>
            <w:tcW w:w="4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w:t>
            </w:r>
          </w:p>
        </w:tc>
      </w:tr>
    </w:tbl>
    <w:p>
      <w:pPr>
        <w:spacing w:after="0" w:line="286" w:lineRule="exact"/>
        <w:rPr>
          <w:sz w:val="20"/>
          <w:szCs w:val="20"/>
          <w:color w:val="auto"/>
        </w:rPr>
      </w:pPr>
    </w:p>
    <w:p>
      <w:pPr>
        <w:jc w:val="center"/>
        <w:ind w:right="-39"/>
        <w:spacing w:after="0"/>
        <w:rPr>
          <w:sz w:val="20"/>
          <w:szCs w:val="20"/>
          <w:color w:val="auto"/>
        </w:rPr>
      </w:pPr>
      <w:r>
        <w:rPr>
          <w:rFonts w:ascii="Arial" w:cs="Arial" w:eastAsia="Arial" w:hAnsi="Arial"/>
          <w:sz w:val="15"/>
          <w:szCs w:val="15"/>
          <w:color w:val="auto"/>
        </w:rPr>
        <w:t>See accompanying Notes to Condensed Consolidated Financial Statements.</w:t>
      </w:r>
    </w:p>
    <w:p>
      <w:pPr>
        <w:spacing w:after="0" w:line="200" w:lineRule="exact"/>
        <w:rPr>
          <w:sz w:val="20"/>
          <w:szCs w:val="20"/>
          <w:color w:val="auto"/>
        </w:rPr>
      </w:pPr>
    </w:p>
    <w:p>
      <w:pPr>
        <w:spacing w:after="0" w:line="295" w:lineRule="exact"/>
        <w:rPr>
          <w:sz w:val="20"/>
          <w:szCs w:val="20"/>
          <w:color w:val="auto"/>
        </w:rPr>
      </w:pPr>
    </w:p>
    <w:p>
      <w:pPr>
        <w:jc w:val="center"/>
        <w:ind w:right="-79"/>
        <w:spacing w:after="0"/>
        <w:rPr>
          <w:sz w:val="20"/>
          <w:szCs w:val="20"/>
          <w:color w:val="auto"/>
        </w:rPr>
      </w:pPr>
      <w:r>
        <w:rPr>
          <w:rFonts w:ascii="Arial" w:cs="Arial" w:eastAsia="Arial" w:hAnsi="Arial"/>
          <w:sz w:val="15"/>
          <w:szCs w:val="15"/>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00"/>
          </w:cols>
          <w:pgMar w:left="660" w:top="1222" w:right="740" w:bottom="1440" w:gutter="0" w:footer="0" w:header="0"/>
        </w:sectPr>
      </w:pPr>
    </w:p>
    <w:bookmarkStart w:id="7" w:name="page8"/>
    <w:bookmarkEnd w:id="7"/>
    <w:p>
      <w:pPr>
        <w:jc w:val="center"/>
        <w:ind w:right="-19"/>
        <w:spacing w:after="0"/>
        <w:rPr>
          <w:sz w:val="20"/>
          <w:szCs w:val="20"/>
          <w:color w:val="auto"/>
        </w:rPr>
      </w:pPr>
      <w:r>
        <w:rPr>
          <w:rFonts w:ascii="Arial" w:cs="Arial" w:eastAsia="Arial" w:hAnsi="Arial"/>
          <w:sz w:val="15"/>
          <w:szCs w:val="15"/>
          <w:b w:val="1"/>
          <w:bCs w:val="1"/>
          <w:color w:val="auto"/>
        </w:rPr>
        <w:t>AUTODESK, INC.</w:t>
      </w:r>
    </w:p>
    <w:p>
      <w:pPr>
        <w:spacing w:after="0" w:line="21"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NOTES TO CONDENSED CONSOLIDATED FINANCIAL STATEMENTS (UNAUDITED)</w:t>
      </w:r>
    </w:p>
    <w:p>
      <w:pPr>
        <w:spacing w:after="0" w:line="3" w:lineRule="exact"/>
        <w:rPr>
          <w:sz w:val="20"/>
          <w:szCs w:val="20"/>
          <w:color w:val="auto"/>
        </w:rPr>
      </w:pPr>
    </w:p>
    <w:p>
      <w:pPr>
        <w:jc w:val="center"/>
        <w:ind w:right="40"/>
        <w:spacing w:after="0"/>
        <w:rPr>
          <w:sz w:val="20"/>
          <w:szCs w:val="20"/>
          <w:color w:val="auto"/>
        </w:rPr>
      </w:pPr>
      <w:r>
        <w:rPr>
          <w:rFonts w:ascii="Arial" w:cs="Arial" w:eastAsia="Arial" w:hAnsi="Arial"/>
          <w:sz w:val="15"/>
          <w:szCs w:val="15"/>
          <w:color w:val="auto"/>
        </w:rPr>
        <w:t>(In millions, except share and per share data, or as otherwise noted)</w:t>
      </w:r>
    </w:p>
    <w:p>
      <w:pPr>
        <w:spacing w:after="0" w:line="149"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1</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Basis of Presentation</w:t>
      </w:r>
    </w:p>
    <w:p>
      <w:pPr>
        <w:spacing w:after="0" w:line="234" w:lineRule="exact"/>
        <w:rPr>
          <w:sz w:val="20"/>
          <w:szCs w:val="20"/>
          <w:color w:val="auto"/>
        </w:rPr>
      </w:pPr>
    </w:p>
    <w:p>
      <w:pPr>
        <w:ind w:firstLine="387"/>
        <w:spacing w:after="0" w:line="246" w:lineRule="auto"/>
        <w:rPr>
          <w:sz w:val="20"/>
          <w:szCs w:val="20"/>
          <w:color w:val="auto"/>
        </w:rPr>
      </w:pPr>
      <w:r>
        <w:rPr>
          <w:rFonts w:ascii="Arial" w:cs="Arial" w:eastAsia="Arial" w:hAnsi="Arial"/>
          <w:sz w:val="15"/>
          <w:szCs w:val="15"/>
          <w:color w:val="auto"/>
        </w:rPr>
        <w:t>The accompanying unaudited Condensed Consolidated Financial Statements of Autodesk, Inc. (“Autodesk,” “we,” “us,” “our,” or the “Company”) as of April 30, 2023, and for the three months ended April 30, 2023 and 2022, have been prepared in accordance with U.S. generally accepted accounting principles (“GAAP”) for interim financial information along with the instructions to Form 10 -Q and Article 10 of Securities and Exchange Commission (“SEC”) Regulation S-X. Accordingly, they do not include all of the information and notes required by GAAP for annual financial statements. In management’s opinion, Autodesk made all adjustments (consisting of normal, recurring and non-recurring adjustments) during the quarter that were considered necessary for the fair statement of the financial position and operating results of the Company. The preparation of financial statements in conformity with GAAP requires management to make estimates and assumptions that affect reported amounts in the financial statements and accompanying notes. Actual results could differ from those estimates. In addition, the results of operations for the three months ended April 30, 2023, are not necessarily indicative of the results for the entire fiscal year ending January 31, 2024, or for any other period. Further, the balance sheet as of January 31, 2023, has been derived from the audited Consolidated Balance Sheet as of this date. There have been no material changes, other than what is discussed herein, to Autodesk's significant accounting policies as compared to the significant accounting policies disclosed in the Annual Report on Form 10-K for the fiscal year ended January 31, 2023. These unaudited Condensed Consolidated Financial Statements should be read in conjunction with the Consolidated Financial Statements and related notes, together with management’s discussion and analysis of financial position and results of operations, contained in Autodesk’s Annual Report on Form 10-K for the fiscal year ended January 31, 2023, filed on March 14, 2023.</w:t>
      </w:r>
    </w:p>
    <w:p>
      <w:pPr>
        <w:spacing w:after="0" w:line="200"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2</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Recently Issued Accounting Standards</w:t>
      </w:r>
    </w:p>
    <w:p>
      <w:pPr>
        <w:spacing w:after="0" w:line="234" w:lineRule="exact"/>
        <w:rPr>
          <w:sz w:val="20"/>
          <w:szCs w:val="20"/>
          <w:color w:val="auto"/>
        </w:rPr>
      </w:pPr>
    </w:p>
    <w:p>
      <w:pPr>
        <w:ind w:right="200" w:firstLine="387"/>
        <w:spacing w:after="0" w:line="271" w:lineRule="auto"/>
        <w:rPr>
          <w:sz w:val="20"/>
          <w:szCs w:val="20"/>
          <w:color w:val="auto"/>
        </w:rPr>
      </w:pPr>
      <w:r>
        <w:rPr>
          <w:rFonts w:ascii="Arial" w:cs="Arial" w:eastAsia="Arial" w:hAnsi="Arial"/>
          <w:sz w:val="15"/>
          <w:szCs w:val="15"/>
          <w:color w:val="auto"/>
        </w:rPr>
        <w:t>With the exception of those discussed below, there have been no recent changes in accounting pronouncements issued by the Financial Accounting Standards Board (“FASB”) or adopted by the Company during the three months ended April 30, 2023, that are applicable to the Company.</w:t>
      </w:r>
    </w:p>
    <w:p>
      <w:pPr>
        <w:spacing w:after="0" w:line="179"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Accounting Standards Adopted</w:t>
      </w:r>
    </w:p>
    <w:p>
      <w:pPr>
        <w:spacing w:after="0" w:line="232" w:lineRule="exact"/>
        <w:rPr>
          <w:sz w:val="20"/>
          <w:szCs w:val="20"/>
          <w:color w:val="auto"/>
        </w:rPr>
      </w:pPr>
    </w:p>
    <w:p>
      <w:pPr>
        <w:ind w:right="160" w:firstLine="351"/>
        <w:spacing w:after="0" w:line="249" w:lineRule="auto"/>
        <w:rPr>
          <w:sz w:val="20"/>
          <w:szCs w:val="20"/>
          <w:color w:val="auto"/>
        </w:rPr>
      </w:pPr>
      <w:r>
        <w:rPr>
          <w:rFonts w:ascii="Arial" w:cs="Arial" w:eastAsia="Arial" w:hAnsi="Arial"/>
          <w:sz w:val="15"/>
          <w:szCs w:val="15"/>
          <w:color w:val="auto"/>
        </w:rPr>
        <w:t>In June 2022, the FASB issued ASU No. 2022-03, “Fair Value Measurement (Topic 820): Fair Value Measurement of Equity Securities Subject to Contractual Sale Restrictions” (“ASU 2022-03”), which applies to all equity securities measured at fair value that are subject to contractual sale restrictions. ASU 2022-03 prohibits entities from taking into account contractual restrictions on the sale of equity securities when estimating fair value and introduces required disclosures for such transactions. ASU 2022-03 is effective for Autodesk's fiscal year beginning February 1, 2024, and interim periods within that fiscal year, with early adoption permitted. Autodesk adopted ASU 2022-03 as of February 1, 2023. The adoption of ASU 2022-03 did not have a material impact on Autodesk’s consolidated financial statements.</w:t>
      </w:r>
    </w:p>
    <w:p>
      <w:pPr>
        <w:spacing w:after="0" w:line="195"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3</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Revenue Recognition</w:t>
      </w:r>
    </w:p>
    <w:p>
      <w:pPr>
        <w:spacing w:after="0" w:line="228"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Revenue Disaggregation</w:t>
      </w:r>
    </w:p>
    <w:p>
      <w:pPr>
        <w:spacing w:after="0" w:line="232" w:lineRule="exact"/>
        <w:rPr>
          <w:sz w:val="20"/>
          <w:szCs w:val="20"/>
          <w:color w:val="auto"/>
        </w:rPr>
      </w:pPr>
    </w:p>
    <w:p>
      <w:pPr>
        <w:ind w:right="60" w:firstLine="387"/>
        <w:spacing w:after="0" w:line="257" w:lineRule="auto"/>
        <w:rPr>
          <w:sz w:val="20"/>
          <w:szCs w:val="20"/>
          <w:color w:val="auto"/>
        </w:rPr>
      </w:pPr>
      <w:r>
        <w:rPr>
          <w:rFonts w:ascii="Arial" w:cs="Arial" w:eastAsia="Arial" w:hAnsi="Arial"/>
          <w:sz w:val="15"/>
          <w:szCs w:val="15"/>
          <w:color w:val="auto"/>
        </w:rPr>
        <w:t>Autodesk recognizes revenue from the sale of (1) product subscriptions, cloud service offerings, and enterprise business agreements (“EBAs”), (2) renewal fees for existing maintenance plan agreements that were initially purchased with a perpetual software license, and (3) consulting, training, and other products and services. The three categories are presented as line items on Autodesk's Condensed Consolidated Statements of Operations.</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22" w:right="680" w:bottom="1440" w:gutter="0" w:footer="0" w:header="0"/>
        </w:sectPr>
      </w:pPr>
    </w:p>
    <w:bookmarkStart w:id="8" w:name="page9"/>
    <w:bookmarkEnd w:id="8"/>
    <w:p>
      <w:pPr>
        <w:ind w:right="100" w:firstLine="387"/>
        <w:spacing w:after="0" w:line="271" w:lineRule="auto"/>
        <w:rPr>
          <w:sz w:val="20"/>
          <w:szCs w:val="20"/>
          <w:color w:val="auto"/>
        </w:rPr>
      </w:pPr>
      <w:r>
        <w:rPr>
          <w:rFonts w:ascii="Arial" w:cs="Arial" w:eastAsia="Arial" w:hAnsi="Arial"/>
          <w:sz w:val="15"/>
          <w:szCs w:val="15"/>
          <w:color w:val="auto"/>
        </w:rPr>
        <w:t>Information regarding the components of Autodesk's net revenue from contracts with customers by product family, geographic location, sales channel, and product type is as follows:</w:t>
      </w:r>
    </w:p>
    <w:p>
      <w:pPr>
        <w:spacing w:after="0" w:line="59"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8080" w:type="dxa"/>
            <w:vAlign w:val="bottom"/>
          </w:tcPr>
          <w:p>
            <w:pPr>
              <w:spacing w:after="0"/>
              <w:rPr>
                <w:sz w:val="15"/>
                <w:szCs w:val="15"/>
                <w:color w:val="auto"/>
              </w:rPr>
            </w:pPr>
          </w:p>
        </w:tc>
        <w:tc>
          <w:tcPr>
            <w:tcW w:w="2500" w:type="dxa"/>
            <w:vAlign w:val="bottom"/>
            <w:tcBorders>
              <w:bottom w:val="single" w:sz="8" w:color="auto"/>
            </w:tcBorders>
            <w:gridSpan w:val="5"/>
          </w:tcPr>
          <w:p>
            <w:pPr>
              <w:jc w:val="right"/>
              <w:ind w:right="270"/>
              <w:spacing w:after="0"/>
              <w:rPr>
                <w:sz w:val="20"/>
                <w:szCs w:val="20"/>
                <w:color w:val="auto"/>
              </w:rPr>
            </w:pPr>
            <w:r>
              <w:rPr>
                <w:rFonts w:ascii="Arial" w:cs="Arial" w:eastAsia="Arial" w:hAnsi="Arial"/>
                <w:sz w:val="13"/>
                <w:szCs w:val="13"/>
                <w:b w:val="1"/>
                <w:bCs w:val="1"/>
                <w:color w:val="auto"/>
              </w:rPr>
              <w:t>Three Months Ended April 30,</w:t>
            </w:r>
          </w:p>
        </w:tc>
      </w:tr>
      <w:tr>
        <w:trPr>
          <w:trHeight w:val="167"/>
        </w:trPr>
        <w:tc>
          <w:tcPr>
            <w:tcW w:w="8080" w:type="dxa"/>
            <w:vAlign w:val="bottom"/>
            <w:tcBorders>
              <w:bottom w:val="single" w:sz="8" w:color="CCEEFF"/>
            </w:tcBorders>
          </w:tcPr>
          <w:p>
            <w:pPr>
              <w:spacing w:after="0"/>
              <w:rPr>
                <w:sz w:val="14"/>
                <w:szCs w:val="14"/>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2023</w:t>
            </w:r>
          </w:p>
        </w:tc>
        <w:tc>
          <w:tcPr>
            <w:tcW w:w="440" w:type="dxa"/>
            <w:vAlign w:val="bottom"/>
            <w:tcBorders>
              <w:bottom w:val="single" w:sz="8" w:color="auto"/>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940" w:type="dxa"/>
            <w:vAlign w:val="bottom"/>
            <w:tcBorders>
              <w:bottom w:val="single" w:sz="8" w:color="auto"/>
            </w:tcBorders>
          </w:tcPr>
          <w:p>
            <w:pPr>
              <w:jc w:val="right"/>
              <w:ind w:right="390"/>
              <w:spacing w:after="0"/>
              <w:rPr>
                <w:sz w:val="20"/>
                <w:szCs w:val="20"/>
                <w:color w:val="auto"/>
              </w:rPr>
            </w:pPr>
            <w:r>
              <w:rPr>
                <w:rFonts w:ascii="Arial" w:cs="Arial" w:eastAsia="Arial" w:hAnsi="Arial"/>
                <w:sz w:val="13"/>
                <w:szCs w:val="13"/>
                <w:b w:val="1"/>
                <w:bCs w:val="1"/>
                <w:color w:val="auto"/>
              </w:rPr>
              <w:t>2022</w:t>
            </w:r>
          </w:p>
        </w:tc>
      </w:tr>
      <w:tr>
        <w:trPr>
          <w:trHeight w:val="167"/>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revenue by product family:</w:t>
            </w:r>
          </w:p>
        </w:tc>
        <w:tc>
          <w:tcPr>
            <w:tcW w:w="760" w:type="dxa"/>
            <w:vAlign w:val="bottom"/>
            <w:shd w:val="clear" w:color="auto" w:fill="CCEEFF"/>
          </w:tcPr>
          <w:p>
            <w:pPr>
              <w:spacing w:after="0"/>
              <w:rPr>
                <w:sz w:val="14"/>
                <w:szCs w:val="14"/>
                <w:color w:val="auto"/>
              </w:rPr>
            </w:pPr>
          </w:p>
        </w:tc>
        <w:tc>
          <w:tcPr>
            <w:tcW w:w="44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940" w:type="dxa"/>
            <w:vAlign w:val="bottom"/>
            <w:shd w:val="clear" w:color="auto" w:fill="CCEEFF"/>
          </w:tcPr>
          <w:p>
            <w:pPr>
              <w:spacing w:after="0"/>
              <w:rPr>
                <w:sz w:val="14"/>
                <w:szCs w:val="14"/>
                <w:color w:val="auto"/>
              </w:rPr>
            </w:pPr>
          </w:p>
        </w:tc>
      </w:tr>
      <w:tr>
        <w:trPr>
          <w:trHeight w:val="185"/>
        </w:trPr>
        <w:tc>
          <w:tcPr>
            <w:tcW w:w="8080" w:type="dxa"/>
            <w:vAlign w:val="bottom"/>
          </w:tcPr>
          <w:p>
            <w:pPr>
              <w:ind w:left="300"/>
              <w:spacing w:after="0"/>
              <w:rPr>
                <w:sz w:val="20"/>
                <w:szCs w:val="20"/>
                <w:color w:val="auto"/>
              </w:rPr>
            </w:pPr>
            <w:r>
              <w:rPr>
                <w:rFonts w:ascii="Arial" w:cs="Arial" w:eastAsia="Arial" w:hAnsi="Arial"/>
                <w:sz w:val="14"/>
                <w:szCs w:val="14"/>
                <w:color w:val="auto"/>
              </w:rPr>
              <w:t>Architecture, Engineering and Construction (1)</w:t>
            </w:r>
          </w:p>
        </w:tc>
        <w:tc>
          <w:tcPr>
            <w:tcW w:w="760" w:type="dxa"/>
            <w:vAlign w:val="bottom"/>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tcPr>
          <w:p>
            <w:pPr>
              <w:jc w:val="right"/>
              <w:spacing w:after="0"/>
              <w:rPr>
                <w:sz w:val="20"/>
                <w:szCs w:val="20"/>
                <w:color w:val="auto"/>
              </w:rPr>
            </w:pPr>
            <w:r>
              <w:rPr>
                <w:rFonts w:ascii="Arial" w:cs="Arial" w:eastAsia="Arial" w:hAnsi="Arial"/>
                <w:sz w:val="14"/>
                <w:szCs w:val="14"/>
                <w:color w:val="auto"/>
              </w:rPr>
              <w:t>582</w:t>
            </w:r>
          </w:p>
        </w:tc>
        <w:tc>
          <w:tcPr>
            <w:tcW w:w="36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tcPr>
          <w:p>
            <w:pPr>
              <w:jc w:val="right"/>
              <w:spacing w:after="0"/>
              <w:rPr>
                <w:sz w:val="20"/>
                <w:szCs w:val="20"/>
                <w:color w:val="auto"/>
              </w:rPr>
            </w:pPr>
            <w:r>
              <w:rPr>
                <w:rFonts w:ascii="Arial" w:cs="Arial" w:eastAsia="Arial" w:hAnsi="Arial"/>
                <w:sz w:val="14"/>
                <w:szCs w:val="14"/>
                <w:color w:val="auto"/>
              </w:rPr>
              <w:t>537</w:t>
            </w:r>
          </w:p>
        </w:tc>
      </w:tr>
      <w:tr>
        <w:trPr>
          <w:trHeight w:val="190"/>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AutoCAD and AutoCAD LT (1)</w:t>
            </w:r>
          </w:p>
        </w:tc>
        <w:tc>
          <w:tcPr>
            <w:tcW w:w="760" w:type="dxa"/>
            <w:vAlign w:val="bottom"/>
            <w:shd w:val="clear" w:color="auto" w:fill="CCEEFF"/>
          </w:tcPr>
          <w:p>
            <w:pPr>
              <w:spacing w:after="0"/>
              <w:rPr>
                <w:sz w:val="16"/>
                <w:szCs w:val="16"/>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349</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327</w:t>
            </w:r>
          </w:p>
        </w:tc>
      </w:tr>
      <w:tr>
        <w:trPr>
          <w:trHeight w:val="185"/>
        </w:trPr>
        <w:tc>
          <w:tcPr>
            <w:tcW w:w="8080" w:type="dxa"/>
            <w:vAlign w:val="bottom"/>
          </w:tcPr>
          <w:p>
            <w:pPr>
              <w:ind w:left="300"/>
              <w:spacing w:after="0"/>
              <w:rPr>
                <w:sz w:val="20"/>
                <w:szCs w:val="20"/>
                <w:color w:val="auto"/>
              </w:rPr>
            </w:pPr>
            <w:r>
              <w:rPr>
                <w:rFonts w:ascii="Arial" w:cs="Arial" w:eastAsia="Arial" w:hAnsi="Arial"/>
                <w:sz w:val="14"/>
                <w:szCs w:val="14"/>
                <w:color w:val="auto"/>
              </w:rPr>
              <w:t>Manufacturing</w:t>
            </w:r>
          </w:p>
        </w:tc>
        <w:tc>
          <w:tcPr>
            <w:tcW w:w="760" w:type="dxa"/>
            <w:vAlign w:val="bottom"/>
          </w:tcPr>
          <w:p>
            <w:pPr>
              <w:spacing w:after="0"/>
              <w:rPr>
                <w:sz w:val="16"/>
                <w:szCs w:val="16"/>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246</w:t>
            </w: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40" w:type="dxa"/>
            <w:vAlign w:val="bottom"/>
          </w:tcPr>
          <w:p>
            <w:pPr>
              <w:jc w:val="right"/>
              <w:spacing w:after="0"/>
              <w:rPr>
                <w:sz w:val="20"/>
                <w:szCs w:val="20"/>
                <w:color w:val="auto"/>
              </w:rPr>
            </w:pPr>
            <w:r>
              <w:rPr>
                <w:rFonts w:ascii="Arial" w:cs="Arial" w:eastAsia="Arial" w:hAnsi="Arial"/>
                <w:sz w:val="14"/>
                <w:szCs w:val="14"/>
                <w:color w:val="auto"/>
              </w:rPr>
              <w:t>225</w:t>
            </w:r>
          </w:p>
        </w:tc>
      </w:tr>
      <w:tr>
        <w:trPr>
          <w:trHeight w:val="190"/>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Media and Entertainment</w:t>
            </w:r>
          </w:p>
        </w:tc>
        <w:tc>
          <w:tcPr>
            <w:tcW w:w="760" w:type="dxa"/>
            <w:vAlign w:val="bottom"/>
            <w:shd w:val="clear" w:color="auto" w:fill="CCEEFF"/>
          </w:tcPr>
          <w:p>
            <w:pPr>
              <w:spacing w:after="0"/>
              <w:rPr>
                <w:sz w:val="16"/>
                <w:szCs w:val="16"/>
                <w:color w:val="auto"/>
              </w:rPr>
            </w:pPr>
          </w:p>
        </w:tc>
        <w:tc>
          <w:tcPr>
            <w:tcW w:w="4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71</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68</w:t>
            </w:r>
          </w:p>
        </w:tc>
      </w:tr>
      <w:tr>
        <w:trPr>
          <w:trHeight w:val="185"/>
        </w:trPr>
        <w:tc>
          <w:tcPr>
            <w:tcW w:w="808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Other</w:t>
            </w:r>
          </w:p>
        </w:tc>
        <w:tc>
          <w:tcPr>
            <w:tcW w:w="76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21</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13</w:t>
            </w:r>
          </w:p>
        </w:tc>
      </w:tr>
      <w:tr>
        <w:trPr>
          <w:trHeight w:val="199"/>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 net revenue</w:t>
            </w:r>
          </w:p>
        </w:tc>
        <w:tc>
          <w:tcPr>
            <w:tcW w:w="760" w:type="dxa"/>
            <w:vAlign w:val="bottom"/>
            <w:shd w:val="clear" w:color="auto" w:fill="CCEEFF"/>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1,269</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1,170</w:t>
            </w:r>
          </w:p>
        </w:tc>
      </w:tr>
      <w:tr>
        <w:trPr>
          <w:trHeight w:val="20"/>
        </w:trPr>
        <w:tc>
          <w:tcPr>
            <w:tcW w:w="8080" w:type="dxa"/>
            <w:vAlign w:val="bottom"/>
            <w:tcBorders>
              <w:top w:val="single" w:sz="8" w:color="CCEEFF"/>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r>
      <w:tr>
        <w:trPr>
          <w:trHeight w:val="157"/>
        </w:trPr>
        <w:tc>
          <w:tcPr>
            <w:tcW w:w="808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40" w:type="dxa"/>
            <w:vAlign w:val="bottom"/>
          </w:tcPr>
          <w:p>
            <w:pPr>
              <w:spacing w:after="0"/>
              <w:rPr>
                <w:sz w:val="13"/>
                <w:szCs w:val="13"/>
                <w:color w:val="auto"/>
              </w:rPr>
            </w:pPr>
          </w:p>
        </w:tc>
      </w:tr>
      <w:tr>
        <w:trPr>
          <w:trHeight w:val="187"/>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revenue by geographic area:</w:t>
            </w:r>
          </w:p>
        </w:tc>
        <w:tc>
          <w:tcPr>
            <w:tcW w:w="760" w:type="dxa"/>
            <w:vAlign w:val="bottom"/>
            <w:shd w:val="clear" w:color="auto" w:fill="CCEEFF"/>
          </w:tcPr>
          <w:p>
            <w:pPr>
              <w:spacing w:after="0"/>
              <w:rPr>
                <w:sz w:val="16"/>
                <w:szCs w:val="16"/>
                <w:color w:val="auto"/>
              </w:rPr>
            </w:pPr>
          </w:p>
        </w:tc>
        <w:tc>
          <w:tcPr>
            <w:tcW w:w="4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40" w:type="dxa"/>
            <w:vAlign w:val="bottom"/>
            <w:shd w:val="clear" w:color="auto" w:fill="CCEEFF"/>
          </w:tcPr>
          <w:p>
            <w:pPr>
              <w:spacing w:after="0"/>
              <w:rPr>
                <w:sz w:val="16"/>
                <w:szCs w:val="16"/>
                <w:color w:val="auto"/>
              </w:rPr>
            </w:pPr>
          </w:p>
        </w:tc>
      </w:tr>
      <w:tr>
        <w:trPr>
          <w:trHeight w:val="185"/>
        </w:trPr>
        <w:tc>
          <w:tcPr>
            <w:tcW w:w="8080" w:type="dxa"/>
            <w:vAlign w:val="bottom"/>
          </w:tcPr>
          <w:p>
            <w:pPr>
              <w:ind w:left="300"/>
              <w:spacing w:after="0"/>
              <w:rPr>
                <w:sz w:val="20"/>
                <w:szCs w:val="20"/>
                <w:color w:val="auto"/>
              </w:rPr>
            </w:pPr>
            <w:r>
              <w:rPr>
                <w:rFonts w:ascii="Arial" w:cs="Arial" w:eastAsia="Arial" w:hAnsi="Arial"/>
                <w:sz w:val="14"/>
                <w:szCs w:val="14"/>
                <w:color w:val="auto"/>
              </w:rPr>
              <w:t>Americas</w:t>
            </w:r>
          </w:p>
        </w:tc>
        <w:tc>
          <w:tcPr>
            <w:tcW w:w="76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40" w:type="dxa"/>
            <w:vAlign w:val="bottom"/>
          </w:tcPr>
          <w:p>
            <w:pPr>
              <w:spacing w:after="0"/>
              <w:rPr>
                <w:sz w:val="16"/>
                <w:szCs w:val="16"/>
                <w:color w:val="auto"/>
              </w:rPr>
            </w:pPr>
          </w:p>
        </w:tc>
      </w:tr>
      <w:tr>
        <w:trPr>
          <w:trHeight w:val="190"/>
        </w:trPr>
        <w:tc>
          <w:tcPr>
            <w:tcW w:w="8080" w:type="dxa"/>
            <w:vAlign w:val="bottom"/>
            <w:shd w:val="clear" w:color="auto" w:fill="CCEEFF"/>
          </w:tcPr>
          <w:p>
            <w:pPr>
              <w:ind w:left="580"/>
              <w:spacing w:after="0"/>
              <w:rPr>
                <w:sz w:val="20"/>
                <w:szCs w:val="20"/>
                <w:color w:val="auto"/>
              </w:rPr>
            </w:pPr>
            <w:r>
              <w:rPr>
                <w:rFonts w:ascii="Arial" w:cs="Arial" w:eastAsia="Arial" w:hAnsi="Arial"/>
                <w:sz w:val="14"/>
                <w:szCs w:val="14"/>
                <w:color w:val="auto"/>
              </w:rPr>
              <w:t>U.S.</w:t>
            </w:r>
          </w:p>
        </w:tc>
        <w:tc>
          <w:tcPr>
            <w:tcW w:w="760" w:type="dxa"/>
            <w:vAlign w:val="bottom"/>
            <w:shd w:val="clear" w:color="auto" w:fill="CCEEFF"/>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456</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398</w:t>
            </w:r>
          </w:p>
        </w:tc>
      </w:tr>
      <w:tr>
        <w:trPr>
          <w:trHeight w:val="185"/>
        </w:trPr>
        <w:tc>
          <w:tcPr>
            <w:tcW w:w="8080" w:type="dxa"/>
            <w:vAlign w:val="bottom"/>
            <w:tcBorders>
              <w:bottom w:val="single" w:sz="8" w:color="CCEEFF"/>
            </w:tcBorders>
          </w:tcPr>
          <w:p>
            <w:pPr>
              <w:ind w:left="580"/>
              <w:spacing w:after="0"/>
              <w:rPr>
                <w:sz w:val="20"/>
                <w:szCs w:val="20"/>
                <w:color w:val="auto"/>
              </w:rPr>
            </w:pPr>
            <w:r>
              <w:rPr>
                <w:rFonts w:ascii="Arial" w:cs="Arial" w:eastAsia="Arial" w:hAnsi="Arial"/>
                <w:sz w:val="14"/>
                <w:szCs w:val="14"/>
                <w:color w:val="auto"/>
              </w:rPr>
              <w:t>Other Americas</w:t>
            </w:r>
          </w:p>
        </w:tc>
        <w:tc>
          <w:tcPr>
            <w:tcW w:w="76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97</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86</w:t>
            </w:r>
          </w:p>
        </w:tc>
      </w:tr>
      <w:tr>
        <w:trPr>
          <w:trHeight w:val="182"/>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Total Americas</w:t>
            </w:r>
          </w:p>
        </w:tc>
        <w:tc>
          <w:tcPr>
            <w:tcW w:w="760" w:type="dxa"/>
            <w:vAlign w:val="bottom"/>
            <w:shd w:val="clear" w:color="auto" w:fill="CCEEFF"/>
          </w:tcPr>
          <w:p>
            <w:pPr>
              <w:spacing w:after="0"/>
              <w:rPr>
                <w:sz w:val="15"/>
                <w:szCs w:val="15"/>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553</w:t>
            </w:r>
          </w:p>
        </w:tc>
        <w:tc>
          <w:tcPr>
            <w:tcW w:w="80" w:type="dxa"/>
            <w:vAlign w:val="bottom"/>
            <w:shd w:val="clear" w:color="auto" w:fill="CCEEFF"/>
          </w:tcPr>
          <w:p>
            <w:pPr>
              <w:spacing w:after="0"/>
              <w:rPr>
                <w:sz w:val="15"/>
                <w:szCs w:val="15"/>
                <w:color w:val="auto"/>
              </w:rPr>
            </w:pPr>
          </w:p>
        </w:tc>
        <w:tc>
          <w:tcPr>
            <w:tcW w:w="280" w:type="dxa"/>
            <w:vAlign w:val="bottom"/>
            <w:shd w:val="clear" w:color="auto" w:fill="CCEEFF"/>
          </w:tcPr>
          <w:p>
            <w:pPr>
              <w:spacing w:after="0"/>
              <w:rPr>
                <w:sz w:val="15"/>
                <w:szCs w:val="15"/>
                <w:color w:val="auto"/>
              </w:rPr>
            </w:pP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484</w:t>
            </w:r>
          </w:p>
        </w:tc>
      </w:tr>
      <w:tr>
        <w:trPr>
          <w:trHeight w:val="185"/>
        </w:trPr>
        <w:tc>
          <w:tcPr>
            <w:tcW w:w="8080" w:type="dxa"/>
            <w:vAlign w:val="bottom"/>
          </w:tcPr>
          <w:p>
            <w:pPr>
              <w:ind w:left="300"/>
              <w:spacing w:after="0"/>
              <w:rPr>
                <w:sz w:val="20"/>
                <w:szCs w:val="20"/>
                <w:color w:val="auto"/>
              </w:rPr>
            </w:pPr>
            <w:r>
              <w:rPr>
                <w:rFonts w:ascii="Arial" w:cs="Arial" w:eastAsia="Arial" w:hAnsi="Arial"/>
                <w:sz w:val="14"/>
                <w:szCs w:val="14"/>
                <w:color w:val="auto"/>
              </w:rPr>
              <w:t>Europe, Middle East and Africa</w:t>
            </w:r>
          </w:p>
        </w:tc>
        <w:tc>
          <w:tcPr>
            <w:tcW w:w="760" w:type="dxa"/>
            <w:vAlign w:val="bottom"/>
          </w:tcPr>
          <w:p>
            <w:pPr>
              <w:spacing w:after="0"/>
              <w:rPr>
                <w:sz w:val="16"/>
                <w:szCs w:val="16"/>
                <w:color w:val="auto"/>
              </w:rPr>
            </w:pPr>
          </w:p>
        </w:tc>
        <w:tc>
          <w:tcPr>
            <w:tcW w:w="440" w:type="dxa"/>
            <w:vAlign w:val="bottom"/>
          </w:tcPr>
          <w:p>
            <w:pPr>
              <w:jc w:val="right"/>
              <w:spacing w:after="0"/>
              <w:rPr>
                <w:sz w:val="20"/>
                <w:szCs w:val="20"/>
                <w:color w:val="auto"/>
              </w:rPr>
            </w:pPr>
            <w:r>
              <w:rPr>
                <w:rFonts w:ascii="Arial" w:cs="Arial" w:eastAsia="Arial" w:hAnsi="Arial"/>
                <w:sz w:val="14"/>
                <w:szCs w:val="14"/>
                <w:color w:val="auto"/>
              </w:rPr>
              <w:t>474</w:t>
            </w: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40" w:type="dxa"/>
            <w:vAlign w:val="bottom"/>
          </w:tcPr>
          <w:p>
            <w:pPr>
              <w:jc w:val="right"/>
              <w:spacing w:after="0"/>
              <w:rPr>
                <w:sz w:val="20"/>
                <w:szCs w:val="20"/>
                <w:color w:val="auto"/>
              </w:rPr>
            </w:pPr>
            <w:r>
              <w:rPr>
                <w:rFonts w:ascii="Arial" w:cs="Arial" w:eastAsia="Arial" w:hAnsi="Arial"/>
                <w:sz w:val="14"/>
                <w:szCs w:val="14"/>
                <w:color w:val="auto"/>
              </w:rPr>
              <w:t>449</w:t>
            </w:r>
          </w:p>
        </w:tc>
      </w:tr>
      <w:tr>
        <w:trPr>
          <w:trHeight w:val="190"/>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Asia Pacific</w:t>
            </w:r>
          </w:p>
        </w:tc>
        <w:tc>
          <w:tcPr>
            <w:tcW w:w="760" w:type="dxa"/>
            <w:vAlign w:val="bottom"/>
            <w:tcBorders>
              <w:bottom w:val="single" w:sz="8" w:color="auto"/>
            </w:tcBorders>
            <w:shd w:val="clear" w:color="auto" w:fill="CCEEFF"/>
          </w:tcPr>
          <w:p>
            <w:pPr>
              <w:spacing w:after="0"/>
              <w:rPr>
                <w:sz w:val="16"/>
                <w:szCs w:val="16"/>
                <w:color w:val="auto"/>
              </w:rPr>
            </w:pPr>
          </w:p>
        </w:tc>
        <w:tc>
          <w:tcPr>
            <w:tcW w:w="4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242</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237</w:t>
            </w:r>
          </w:p>
        </w:tc>
      </w:tr>
      <w:tr>
        <w:trPr>
          <w:trHeight w:val="177"/>
        </w:trPr>
        <w:tc>
          <w:tcPr>
            <w:tcW w:w="8080" w:type="dxa"/>
            <w:vAlign w:val="bottom"/>
          </w:tcPr>
          <w:p>
            <w:pPr>
              <w:ind w:left="20"/>
              <w:spacing w:after="0"/>
              <w:rPr>
                <w:sz w:val="20"/>
                <w:szCs w:val="20"/>
                <w:color w:val="auto"/>
              </w:rPr>
            </w:pPr>
            <w:r>
              <w:rPr>
                <w:rFonts w:ascii="Arial" w:cs="Arial" w:eastAsia="Arial" w:hAnsi="Arial"/>
                <w:sz w:val="14"/>
                <w:szCs w:val="14"/>
                <w:color w:val="auto"/>
              </w:rPr>
              <w:t>Total net revenue</w:t>
            </w:r>
          </w:p>
        </w:tc>
        <w:tc>
          <w:tcPr>
            <w:tcW w:w="760" w:type="dxa"/>
            <w:vAlign w:val="bottom"/>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tcPr>
          <w:p>
            <w:pPr>
              <w:jc w:val="right"/>
              <w:spacing w:after="0"/>
              <w:rPr>
                <w:sz w:val="20"/>
                <w:szCs w:val="20"/>
                <w:color w:val="auto"/>
              </w:rPr>
            </w:pPr>
            <w:r>
              <w:rPr>
                <w:rFonts w:ascii="Arial" w:cs="Arial" w:eastAsia="Arial" w:hAnsi="Arial"/>
                <w:sz w:val="14"/>
                <w:szCs w:val="14"/>
                <w:color w:val="auto"/>
              </w:rPr>
              <w:t>1,269</w:t>
            </w:r>
          </w:p>
        </w:tc>
        <w:tc>
          <w:tcPr>
            <w:tcW w:w="36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tcPr>
          <w:p>
            <w:pPr>
              <w:jc w:val="right"/>
              <w:spacing w:after="0"/>
              <w:rPr>
                <w:sz w:val="20"/>
                <w:szCs w:val="20"/>
                <w:color w:val="auto"/>
              </w:rPr>
            </w:pPr>
            <w:r>
              <w:rPr>
                <w:rFonts w:ascii="Arial" w:cs="Arial" w:eastAsia="Arial" w:hAnsi="Arial"/>
                <w:sz w:val="14"/>
                <w:szCs w:val="14"/>
                <w:color w:val="auto"/>
              </w:rPr>
              <w:t>1,170</w:t>
            </w:r>
          </w:p>
        </w:tc>
      </w:tr>
      <w:tr>
        <w:trPr>
          <w:trHeight w:val="20"/>
        </w:trPr>
        <w:tc>
          <w:tcPr>
            <w:tcW w:w="8080" w:type="dxa"/>
            <w:vAlign w:val="bottom"/>
            <w:tcBorders>
              <w:bottom w:val="single" w:sz="8" w:color="CCEEFF"/>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bottom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r>
      <w:tr>
        <w:trPr>
          <w:trHeight w:val="177"/>
        </w:trPr>
        <w:tc>
          <w:tcPr>
            <w:tcW w:w="8080" w:type="dxa"/>
            <w:vAlign w:val="bottom"/>
            <w:shd w:val="clear" w:color="auto" w:fill="CCEEFF"/>
          </w:tcPr>
          <w:p>
            <w:pPr>
              <w:spacing w:after="0"/>
              <w:rPr>
                <w:sz w:val="15"/>
                <w:szCs w:val="15"/>
                <w:color w:val="auto"/>
              </w:rPr>
            </w:pPr>
          </w:p>
        </w:tc>
        <w:tc>
          <w:tcPr>
            <w:tcW w:w="760" w:type="dxa"/>
            <w:vAlign w:val="bottom"/>
            <w:shd w:val="clear" w:color="auto" w:fill="CCEEFF"/>
          </w:tcPr>
          <w:p>
            <w:pPr>
              <w:spacing w:after="0"/>
              <w:rPr>
                <w:sz w:val="15"/>
                <w:szCs w:val="15"/>
                <w:color w:val="auto"/>
              </w:rPr>
            </w:pPr>
          </w:p>
        </w:tc>
        <w:tc>
          <w:tcPr>
            <w:tcW w:w="440" w:type="dxa"/>
            <w:vAlign w:val="bottom"/>
            <w:shd w:val="clear" w:color="auto" w:fill="CCEEFF"/>
          </w:tcPr>
          <w:p>
            <w:pPr>
              <w:spacing w:after="0"/>
              <w:rPr>
                <w:sz w:val="15"/>
                <w:szCs w:val="15"/>
                <w:color w:val="auto"/>
              </w:rPr>
            </w:pPr>
          </w:p>
        </w:tc>
        <w:tc>
          <w:tcPr>
            <w:tcW w:w="80" w:type="dxa"/>
            <w:vAlign w:val="bottom"/>
            <w:shd w:val="clear" w:color="auto" w:fill="CCEEFF"/>
          </w:tcPr>
          <w:p>
            <w:pPr>
              <w:spacing w:after="0"/>
              <w:rPr>
                <w:sz w:val="15"/>
                <w:szCs w:val="15"/>
                <w:color w:val="auto"/>
              </w:rPr>
            </w:pPr>
          </w:p>
        </w:tc>
        <w:tc>
          <w:tcPr>
            <w:tcW w:w="280" w:type="dxa"/>
            <w:vAlign w:val="bottom"/>
            <w:shd w:val="clear" w:color="auto" w:fill="CCEEFF"/>
          </w:tcPr>
          <w:p>
            <w:pPr>
              <w:spacing w:after="0"/>
              <w:rPr>
                <w:sz w:val="15"/>
                <w:szCs w:val="15"/>
                <w:color w:val="auto"/>
              </w:rPr>
            </w:pPr>
          </w:p>
        </w:tc>
        <w:tc>
          <w:tcPr>
            <w:tcW w:w="940" w:type="dxa"/>
            <w:vAlign w:val="bottom"/>
            <w:shd w:val="clear" w:color="auto" w:fill="CCEEFF"/>
          </w:tcPr>
          <w:p>
            <w:pPr>
              <w:spacing w:after="0"/>
              <w:rPr>
                <w:sz w:val="15"/>
                <w:szCs w:val="15"/>
                <w:color w:val="auto"/>
              </w:rPr>
            </w:pPr>
          </w:p>
        </w:tc>
      </w:tr>
      <w:tr>
        <w:trPr>
          <w:trHeight w:val="185"/>
        </w:trPr>
        <w:tc>
          <w:tcPr>
            <w:tcW w:w="8080" w:type="dxa"/>
            <w:vAlign w:val="bottom"/>
          </w:tcPr>
          <w:p>
            <w:pPr>
              <w:ind w:left="20"/>
              <w:spacing w:after="0"/>
              <w:rPr>
                <w:sz w:val="20"/>
                <w:szCs w:val="20"/>
                <w:color w:val="auto"/>
              </w:rPr>
            </w:pPr>
            <w:r>
              <w:rPr>
                <w:rFonts w:ascii="Arial" w:cs="Arial" w:eastAsia="Arial" w:hAnsi="Arial"/>
                <w:sz w:val="14"/>
                <w:szCs w:val="14"/>
                <w:color w:val="auto"/>
              </w:rPr>
              <w:t>Net revenue by sales channel:</w:t>
            </w:r>
          </w:p>
        </w:tc>
        <w:tc>
          <w:tcPr>
            <w:tcW w:w="76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40" w:type="dxa"/>
            <w:vAlign w:val="bottom"/>
          </w:tcPr>
          <w:p>
            <w:pPr>
              <w:spacing w:after="0"/>
              <w:rPr>
                <w:sz w:val="16"/>
                <w:szCs w:val="16"/>
                <w:color w:val="auto"/>
              </w:rPr>
            </w:pPr>
          </w:p>
        </w:tc>
      </w:tr>
      <w:tr>
        <w:trPr>
          <w:trHeight w:val="190"/>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Indirect</w:t>
            </w:r>
          </w:p>
        </w:tc>
        <w:tc>
          <w:tcPr>
            <w:tcW w:w="760" w:type="dxa"/>
            <w:vAlign w:val="bottom"/>
            <w:shd w:val="clear" w:color="auto" w:fill="CCEEFF"/>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820</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769</w:t>
            </w:r>
          </w:p>
        </w:tc>
      </w:tr>
      <w:tr>
        <w:trPr>
          <w:trHeight w:val="185"/>
        </w:trPr>
        <w:tc>
          <w:tcPr>
            <w:tcW w:w="808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Direct</w:t>
            </w:r>
          </w:p>
        </w:tc>
        <w:tc>
          <w:tcPr>
            <w:tcW w:w="76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449</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401</w:t>
            </w:r>
          </w:p>
        </w:tc>
      </w:tr>
      <w:tr>
        <w:trPr>
          <w:trHeight w:val="199"/>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 net revenue</w:t>
            </w:r>
          </w:p>
        </w:tc>
        <w:tc>
          <w:tcPr>
            <w:tcW w:w="760" w:type="dxa"/>
            <w:vAlign w:val="bottom"/>
            <w:shd w:val="clear" w:color="auto" w:fill="CCEEFF"/>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1,269</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1,170</w:t>
            </w:r>
          </w:p>
        </w:tc>
      </w:tr>
      <w:tr>
        <w:trPr>
          <w:trHeight w:val="20"/>
        </w:trPr>
        <w:tc>
          <w:tcPr>
            <w:tcW w:w="8080" w:type="dxa"/>
            <w:vAlign w:val="bottom"/>
            <w:tcBorders>
              <w:top w:val="single" w:sz="8" w:color="CCEEFF"/>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r>
      <w:tr>
        <w:trPr>
          <w:trHeight w:val="157"/>
        </w:trPr>
        <w:tc>
          <w:tcPr>
            <w:tcW w:w="808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40" w:type="dxa"/>
            <w:vAlign w:val="bottom"/>
          </w:tcPr>
          <w:p>
            <w:pPr>
              <w:spacing w:after="0"/>
              <w:rPr>
                <w:sz w:val="13"/>
                <w:szCs w:val="13"/>
                <w:color w:val="auto"/>
              </w:rPr>
            </w:pPr>
          </w:p>
        </w:tc>
      </w:tr>
      <w:tr>
        <w:trPr>
          <w:trHeight w:val="187"/>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revenue by product type:</w:t>
            </w:r>
          </w:p>
        </w:tc>
        <w:tc>
          <w:tcPr>
            <w:tcW w:w="760" w:type="dxa"/>
            <w:vAlign w:val="bottom"/>
            <w:shd w:val="clear" w:color="auto" w:fill="CCEEFF"/>
          </w:tcPr>
          <w:p>
            <w:pPr>
              <w:spacing w:after="0"/>
              <w:rPr>
                <w:sz w:val="16"/>
                <w:szCs w:val="16"/>
                <w:color w:val="auto"/>
              </w:rPr>
            </w:pPr>
          </w:p>
        </w:tc>
        <w:tc>
          <w:tcPr>
            <w:tcW w:w="4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40" w:type="dxa"/>
            <w:vAlign w:val="bottom"/>
            <w:shd w:val="clear" w:color="auto" w:fill="CCEEFF"/>
          </w:tcPr>
          <w:p>
            <w:pPr>
              <w:spacing w:after="0"/>
              <w:rPr>
                <w:sz w:val="16"/>
                <w:szCs w:val="16"/>
                <w:color w:val="auto"/>
              </w:rPr>
            </w:pPr>
          </w:p>
        </w:tc>
      </w:tr>
      <w:tr>
        <w:trPr>
          <w:trHeight w:val="185"/>
        </w:trPr>
        <w:tc>
          <w:tcPr>
            <w:tcW w:w="8080" w:type="dxa"/>
            <w:vAlign w:val="bottom"/>
          </w:tcPr>
          <w:p>
            <w:pPr>
              <w:ind w:left="300"/>
              <w:spacing w:after="0"/>
              <w:rPr>
                <w:sz w:val="20"/>
                <w:szCs w:val="20"/>
                <w:color w:val="auto"/>
              </w:rPr>
            </w:pPr>
            <w:r>
              <w:rPr>
                <w:rFonts w:ascii="Arial" w:cs="Arial" w:eastAsia="Arial" w:hAnsi="Arial"/>
                <w:sz w:val="14"/>
                <w:szCs w:val="14"/>
                <w:color w:val="auto"/>
              </w:rPr>
              <w:t>Design</w:t>
            </w:r>
          </w:p>
        </w:tc>
        <w:tc>
          <w:tcPr>
            <w:tcW w:w="760" w:type="dxa"/>
            <w:vAlign w:val="bottom"/>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tcPr>
          <w:p>
            <w:pPr>
              <w:jc w:val="right"/>
              <w:spacing w:after="0"/>
              <w:rPr>
                <w:sz w:val="20"/>
                <w:szCs w:val="20"/>
                <w:color w:val="auto"/>
              </w:rPr>
            </w:pPr>
            <w:r>
              <w:rPr>
                <w:rFonts w:ascii="Arial" w:cs="Arial" w:eastAsia="Arial" w:hAnsi="Arial"/>
                <w:sz w:val="14"/>
                <w:szCs w:val="14"/>
                <w:color w:val="auto"/>
              </w:rPr>
              <w:t>1,086</w:t>
            </w:r>
          </w:p>
        </w:tc>
        <w:tc>
          <w:tcPr>
            <w:tcW w:w="36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tcPr>
          <w:p>
            <w:pPr>
              <w:jc w:val="right"/>
              <w:spacing w:after="0"/>
              <w:rPr>
                <w:sz w:val="20"/>
                <w:szCs w:val="20"/>
                <w:color w:val="auto"/>
              </w:rPr>
            </w:pPr>
            <w:r>
              <w:rPr>
                <w:rFonts w:ascii="Arial" w:cs="Arial" w:eastAsia="Arial" w:hAnsi="Arial"/>
                <w:sz w:val="14"/>
                <w:szCs w:val="14"/>
                <w:color w:val="auto"/>
              </w:rPr>
              <w:t>1,004</w:t>
            </w:r>
          </w:p>
        </w:tc>
      </w:tr>
      <w:tr>
        <w:trPr>
          <w:trHeight w:val="190"/>
        </w:trPr>
        <w:tc>
          <w:tcPr>
            <w:tcW w:w="80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Make</w:t>
            </w:r>
          </w:p>
        </w:tc>
        <w:tc>
          <w:tcPr>
            <w:tcW w:w="760" w:type="dxa"/>
            <w:vAlign w:val="bottom"/>
            <w:shd w:val="clear" w:color="auto" w:fill="CCEEFF"/>
          </w:tcPr>
          <w:p>
            <w:pPr>
              <w:spacing w:after="0"/>
              <w:rPr>
                <w:sz w:val="16"/>
                <w:szCs w:val="16"/>
                <w:color w:val="auto"/>
              </w:rPr>
            </w:pP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121</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103</w:t>
            </w:r>
          </w:p>
        </w:tc>
      </w:tr>
      <w:tr>
        <w:trPr>
          <w:trHeight w:val="185"/>
        </w:trPr>
        <w:tc>
          <w:tcPr>
            <w:tcW w:w="808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Other</w:t>
            </w:r>
          </w:p>
        </w:tc>
        <w:tc>
          <w:tcPr>
            <w:tcW w:w="76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62</w:t>
            </w:r>
          </w:p>
        </w:tc>
        <w:tc>
          <w:tcPr>
            <w:tcW w:w="80" w:type="dxa"/>
            <w:vAlign w:val="bottom"/>
            <w:tcBorders>
              <w:bottom w:val="single" w:sz="8" w:color="CCEEFF"/>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63</w:t>
            </w:r>
          </w:p>
        </w:tc>
      </w:tr>
      <w:tr>
        <w:trPr>
          <w:trHeight w:val="199"/>
        </w:trPr>
        <w:tc>
          <w:tcPr>
            <w:tcW w:w="8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 net revenue</w:t>
            </w:r>
          </w:p>
        </w:tc>
        <w:tc>
          <w:tcPr>
            <w:tcW w:w="760" w:type="dxa"/>
            <w:vAlign w:val="bottom"/>
            <w:shd w:val="clear" w:color="auto" w:fill="CCEEFF"/>
          </w:tcPr>
          <w:p>
            <w:pPr>
              <w:jc w:val="right"/>
              <w:ind w:right="611"/>
              <w:spacing w:after="0"/>
              <w:rPr>
                <w:sz w:val="20"/>
                <w:szCs w:val="20"/>
                <w:color w:val="auto"/>
              </w:rPr>
            </w:pPr>
            <w:r>
              <w:rPr>
                <w:rFonts w:ascii="Arial" w:cs="Arial" w:eastAsia="Arial" w:hAnsi="Arial"/>
                <w:sz w:val="14"/>
                <w:szCs w:val="14"/>
                <w:color w:val="auto"/>
                <w:w w:val="76"/>
              </w:rPr>
              <w:t>$</w:t>
            </w:r>
          </w:p>
        </w:tc>
        <w:tc>
          <w:tcPr>
            <w:tcW w:w="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1,269</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1,170</w:t>
            </w:r>
          </w:p>
        </w:tc>
      </w:tr>
      <w:tr>
        <w:trPr>
          <w:trHeight w:val="20"/>
        </w:trPr>
        <w:tc>
          <w:tcPr>
            <w:tcW w:w="8080" w:type="dxa"/>
            <w:vAlign w:val="bottom"/>
            <w:tcBorders>
              <w:top w:val="single" w:sz="8" w:color="CCEEFF"/>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r>
    </w:tbl>
    <w:p>
      <w:pPr>
        <w:spacing w:after="0" w:line="110"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right="140" w:firstLine="4"/>
        <w:spacing w:after="0" w:line="250" w:lineRule="auto"/>
        <w:tabs>
          <w:tab w:leader="none" w:pos="210" w:val="left"/>
        </w:tabs>
        <w:numPr>
          <w:ilvl w:val="0"/>
          <w:numId w:val="3"/>
        </w:numPr>
        <w:rPr>
          <w:rFonts w:ascii="Arial" w:cs="Arial" w:eastAsia="Arial" w:hAnsi="Arial"/>
          <w:sz w:val="14"/>
          <w:szCs w:val="14"/>
          <w:color w:val="auto"/>
        </w:rPr>
      </w:pPr>
      <w:r>
        <w:rPr>
          <w:rFonts w:ascii="Arial" w:cs="Arial" w:eastAsia="Arial" w:hAnsi="Arial"/>
          <w:sz w:val="14"/>
          <w:szCs w:val="14"/>
          <w:color w:val="auto"/>
        </w:rPr>
        <w:t>During fiscal 2023, we corrected an immaterial classification error and reclassified certain revenue amounts between Architecture, Engineering and Construction and AutoCAD and AutoCAD LT. The results for the fiscal quarter ended April 30, 2022, have been adjusted to conform to the current period presentation. These reclassifications did not impact total net revenue.</w:t>
      </w:r>
    </w:p>
    <w:p>
      <w:pPr>
        <w:spacing w:after="0" w:line="203" w:lineRule="exact"/>
        <w:rPr>
          <w:sz w:val="20"/>
          <w:szCs w:val="20"/>
          <w:color w:val="auto"/>
        </w:rPr>
      </w:pPr>
    </w:p>
    <w:p>
      <w:pPr>
        <w:ind w:right="160" w:firstLine="351"/>
        <w:spacing w:after="0" w:line="251" w:lineRule="auto"/>
        <w:rPr>
          <w:sz w:val="20"/>
          <w:szCs w:val="20"/>
          <w:color w:val="auto"/>
        </w:rPr>
      </w:pPr>
      <w:r>
        <w:rPr>
          <w:rFonts w:ascii="Arial" w:cs="Arial" w:eastAsia="Arial" w:hAnsi="Arial"/>
          <w:sz w:val="15"/>
          <w:szCs w:val="15"/>
          <w:color w:val="auto"/>
        </w:rPr>
        <w:t>Payments for product subscriptions, industry collections, cloud subscriptions, and maintenance subscriptions are typically due up front with payment terms of 30 to 45 days. Payments on EBAs are typically due in annual installments over the contract term, with payment terms of 30 to 60 days. Effective in fiscal 2024, payments on multi-year subscriptions are typically due in annual installments over the contract term, with payment terms of 30 to 60 days. Autodesk does not have any material variable consideration, such as obligations for returns, refunds, warranties, or amounts due to customers for which significant estimation or judgment is required as of the reporting date.</w:t>
      </w:r>
    </w:p>
    <w:p>
      <w:pPr>
        <w:spacing w:after="0" w:line="199" w:lineRule="exact"/>
        <w:rPr>
          <w:sz w:val="20"/>
          <w:szCs w:val="20"/>
          <w:color w:val="auto"/>
        </w:rPr>
      </w:pPr>
    </w:p>
    <w:p>
      <w:pPr>
        <w:ind w:right="80" w:firstLine="351"/>
        <w:spacing w:after="0" w:line="253" w:lineRule="auto"/>
        <w:rPr>
          <w:sz w:val="20"/>
          <w:szCs w:val="20"/>
          <w:color w:val="auto"/>
        </w:rPr>
      </w:pPr>
      <w:r>
        <w:rPr>
          <w:rFonts w:ascii="Arial" w:cs="Arial" w:eastAsia="Arial" w:hAnsi="Arial"/>
          <w:sz w:val="15"/>
          <w:szCs w:val="15"/>
          <w:color w:val="auto"/>
        </w:rPr>
        <w:t>Remaining performance obligations consist of tota l short -term, long-term, a nd unbilled deferred revenue. As of April 30, 2023, Autodesk had remaining performance obligations of $5.39 billion, which represents the total contract price allocated to remaining performance obligations, which are generally recognized over the next three years. We expect to recognize $3.51 billion or 65% of our remaining performance obligations as revenue during the next 12 months. We expect to recognize the remaining $1.88 billion or 35% of our remaining performance obligations as revenue thereafter.</w:t>
      </w:r>
    </w:p>
    <w:p>
      <w:pPr>
        <w:spacing w:after="0" w:line="198" w:lineRule="exact"/>
        <w:rPr>
          <w:sz w:val="20"/>
          <w:szCs w:val="20"/>
          <w:color w:val="auto"/>
        </w:rPr>
      </w:pPr>
    </w:p>
    <w:p>
      <w:pPr>
        <w:ind w:right="400" w:firstLine="351"/>
        <w:spacing w:after="0" w:line="271" w:lineRule="auto"/>
        <w:rPr>
          <w:sz w:val="20"/>
          <w:szCs w:val="20"/>
          <w:color w:val="auto"/>
        </w:rPr>
      </w:pPr>
      <w:r>
        <w:rPr>
          <w:rFonts w:ascii="Arial" w:cs="Arial" w:eastAsia="Arial" w:hAnsi="Arial"/>
          <w:sz w:val="15"/>
          <w:szCs w:val="15"/>
          <w:color w:val="auto"/>
        </w:rPr>
        <w:t>The amount of remaining performance obligations may be impacted by the specific timing, duration, and size of customer subscription and support agreements, the specific timing of customer renewals, and foreign currency fluctuations.</w:t>
      </w: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9" w:name="page10"/>
    <w:bookmarkEnd w:id="9"/>
    <w:p>
      <w:pPr>
        <w:spacing w:after="0"/>
        <w:rPr>
          <w:sz w:val="20"/>
          <w:szCs w:val="20"/>
          <w:color w:val="auto"/>
        </w:rPr>
      </w:pPr>
      <w:r>
        <w:rPr>
          <w:rFonts w:ascii="Arial" w:cs="Arial" w:eastAsia="Arial" w:hAnsi="Arial"/>
          <w:sz w:val="15"/>
          <w:szCs w:val="15"/>
          <w:i w:val="1"/>
          <w:iCs w:val="1"/>
          <w:color w:val="auto"/>
        </w:rPr>
        <w:t>Contract Balances</w:t>
      </w:r>
    </w:p>
    <w:p>
      <w:pPr>
        <w:spacing w:after="0" w:line="232" w:lineRule="exact"/>
        <w:rPr>
          <w:sz w:val="20"/>
          <w:szCs w:val="20"/>
          <w:color w:val="auto"/>
        </w:rPr>
      </w:pPr>
    </w:p>
    <w:p>
      <w:pPr>
        <w:jc w:val="both"/>
        <w:ind w:right="80" w:firstLine="351"/>
        <w:spacing w:after="0" w:line="257" w:lineRule="auto"/>
        <w:rPr>
          <w:sz w:val="20"/>
          <w:szCs w:val="20"/>
          <w:color w:val="auto"/>
        </w:rPr>
      </w:pPr>
      <w:r>
        <w:rPr>
          <w:rFonts w:ascii="Arial" w:cs="Arial" w:eastAsia="Arial" w:hAnsi="Arial"/>
          <w:sz w:val="15"/>
          <w:szCs w:val="15"/>
          <w:color w:val="auto"/>
        </w:rPr>
        <w:t>We receive payments from customers based on a billing schedule as established in our contracts. Contract assets relate to performance completed in advance of scheduled billings. Contract assets were not material as of April 30, 2023. Deferred revenue relates to billings in advance of performance under the contract. The primary changes in our contract assets and deferred revenues are due to our performance under the contracts and billings.</w:t>
      </w:r>
    </w:p>
    <w:p>
      <w:pPr>
        <w:spacing w:after="0" w:line="196" w:lineRule="exact"/>
        <w:rPr>
          <w:sz w:val="20"/>
          <w:szCs w:val="20"/>
          <w:color w:val="auto"/>
        </w:rPr>
      </w:pPr>
    </w:p>
    <w:p>
      <w:pPr>
        <w:ind w:right="60" w:firstLine="351"/>
        <w:spacing w:after="0" w:line="257" w:lineRule="auto"/>
        <w:rPr>
          <w:sz w:val="20"/>
          <w:szCs w:val="20"/>
          <w:color w:val="auto"/>
        </w:rPr>
      </w:pPr>
      <w:r>
        <w:rPr>
          <w:rFonts w:ascii="Arial" w:cs="Arial" w:eastAsia="Arial" w:hAnsi="Arial"/>
          <w:sz w:val="15"/>
          <w:szCs w:val="15"/>
          <w:color w:val="auto"/>
        </w:rPr>
        <w:t>Revenue recognized during the three months ended April 30, 2023 and 2022, that was included in the deferred revenue balances at January 31, 2023 and 2022, was $1.06 billion and $987 million, respectively. The satisfaction of performance obligations typically lags behind payments received under revenue contracts from customers.</w:t>
      </w:r>
    </w:p>
    <w:p>
      <w:pPr>
        <w:spacing w:after="0" w:line="188"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4</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Concentration of Credit Risk</w:t>
      </w:r>
    </w:p>
    <w:p>
      <w:pPr>
        <w:spacing w:after="0" w:line="187" w:lineRule="exact"/>
        <w:rPr>
          <w:sz w:val="20"/>
          <w:szCs w:val="20"/>
          <w:color w:val="auto"/>
        </w:rPr>
      </w:pPr>
    </w:p>
    <w:p>
      <w:pPr>
        <w:ind w:firstLine="351"/>
        <w:spacing w:after="0" w:line="251" w:lineRule="auto"/>
        <w:rPr>
          <w:sz w:val="20"/>
          <w:szCs w:val="20"/>
          <w:color w:val="auto"/>
        </w:rPr>
      </w:pPr>
      <w:r>
        <w:rPr>
          <w:rFonts w:ascii="Arial" w:cs="Arial" w:eastAsia="Arial" w:hAnsi="Arial"/>
          <w:sz w:val="15"/>
          <w:szCs w:val="15"/>
          <w:color w:val="auto"/>
        </w:rPr>
        <w:t>Autodesk places its cash, cash equivalents, and marketable securities in highly liquid instruments with, and in the custody of, multiple diversified financial institutions globally with high credit ratings, and limits the amounts invested with any one institution, type of security, and issuer. Autodesk’s primary commercial banking relationship is with Citigroup Inc. and its global affiliates. Citibank, N.A., an affiliate of Citigroup, is one of the lead lenders and an agent in the syndicate of Autodesk’s $ 1.5 billion revolving credit facility. See Note 13, “Borrowing Arrangements,” in the Notes to Condensed Consolidated Financial Statements for further discussion.</w:t>
      </w:r>
    </w:p>
    <w:p>
      <w:pPr>
        <w:spacing w:after="0" w:line="199" w:lineRule="exact"/>
        <w:rPr>
          <w:sz w:val="20"/>
          <w:szCs w:val="20"/>
          <w:color w:val="auto"/>
        </w:rPr>
      </w:pPr>
    </w:p>
    <w:p>
      <w:pPr>
        <w:ind w:right="20" w:firstLine="351"/>
        <w:spacing w:after="0" w:line="249" w:lineRule="auto"/>
        <w:rPr>
          <w:sz w:val="20"/>
          <w:szCs w:val="20"/>
          <w:color w:val="auto"/>
        </w:rPr>
      </w:pPr>
      <w:r>
        <w:rPr>
          <w:rFonts w:ascii="Arial" w:cs="Arial" w:eastAsia="Arial" w:hAnsi="Arial"/>
          <w:sz w:val="15"/>
          <w:szCs w:val="15"/>
          <w:color w:val="auto"/>
        </w:rPr>
        <w:t>Total sales to the Company's largest distributor Tech Data Corporation and its global affiliates (“Tech Data”) accounted for 40% of Autodesk’s total net revenue during the three months ended April 30, 2023. Total sales to Tech Data accounted for 36% of Autodesk’s total net revenue for the three months ended April 30, 2022. The majority of the net revenue from sales to Tech Data is for sales outside of the United States. In addition, Tech Data accounted for 25% and 27% of trade accounts receivable at April 30, 2023 and January 31, 2023, respectively. Ingram Micro Inc. (“Ingram Micro”), our second largest distributor, accounted for 8% and 9% of Autodesk's total net revenue during the three months ended April 30, 2023 and 2022, respectively. No other customer accounted for more than 10% of Autodesk's total net revenue or trade accounts receivable for each of the respective periods.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79"/>
        <w:spacing w:after="0"/>
        <w:rPr>
          <w:sz w:val="20"/>
          <w:szCs w:val="20"/>
          <w:color w:val="auto"/>
        </w:rPr>
      </w:pPr>
      <w:r>
        <w:rPr>
          <w:rFonts w:ascii="Arial" w:cs="Arial" w:eastAsia="Arial" w:hAnsi="Arial"/>
          <w:sz w:val="15"/>
          <w:szCs w:val="15"/>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00"/>
          </w:cols>
          <w:pgMar w:left="660" w:top="1224" w:right="740" w:bottom="1440" w:gutter="0" w:footer="0" w:header="0"/>
        </w:sectPr>
      </w:pPr>
    </w:p>
    <w:bookmarkStart w:id="10" w:name="page11"/>
    <w:bookmarkEnd w:id="10"/>
    <w:p>
      <w:pPr>
        <w:spacing w:after="0"/>
        <w:rPr>
          <w:sz w:val="20"/>
          <w:szCs w:val="20"/>
          <w:color w:val="auto"/>
        </w:rPr>
      </w:pPr>
      <w:r>
        <w:rPr>
          <w:rFonts w:ascii="Arial" w:cs="Arial" w:eastAsia="Arial" w:hAnsi="Arial"/>
          <w:sz w:val="15"/>
          <w:szCs w:val="15"/>
          <w:b w:val="1"/>
          <w:bCs w:val="1"/>
          <w:i w:val="1"/>
          <w:iCs w:val="1"/>
          <w:color w:val="auto"/>
        </w:rPr>
        <w:t>5</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Financial Instruments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following tables summarize the Company's financial instruments by significant investment category as of April 30, 2023, and January 31, 2023:</w:t>
      </w:r>
    </w:p>
    <w:p>
      <w:pPr>
        <w:spacing w:after="0" w:line="30" w:lineRule="exact"/>
        <w:rPr>
          <w:sz w:val="20"/>
          <w:szCs w:val="20"/>
          <w:color w:val="auto"/>
        </w:rPr>
      </w:pPr>
    </w:p>
    <w:p>
      <w:pPr>
        <w:ind w:left="7360"/>
        <w:spacing w:after="0"/>
        <w:rPr>
          <w:sz w:val="20"/>
          <w:szCs w:val="20"/>
          <w:color w:val="auto"/>
        </w:rPr>
      </w:pPr>
      <w:r>
        <w:rPr>
          <w:rFonts w:ascii="Arial" w:cs="Arial" w:eastAsia="Arial" w:hAnsi="Arial"/>
          <w:sz w:val="13"/>
          <w:szCs w:val="13"/>
          <w:b w:val="1"/>
          <w:bCs w:val="1"/>
          <w:color w:val="auto"/>
        </w:rPr>
        <w:t>April 30, 2023</w:t>
      </w:r>
    </w:p>
    <w:p>
      <w:pPr>
        <w:sectPr>
          <w:pgSz w:w="11900" w:h="16840" w:orient="portrait"/>
          <w:cols w:equalWidth="0" w:num="1">
            <w:col w:w="10480"/>
          </w:cols>
          <w:pgMar w:left="660" w:top="1222" w:right="760" w:bottom="1440" w:gutter="0" w:footer="0" w:header="0"/>
        </w:sectPr>
      </w:pPr>
    </w:p>
    <w:p>
      <w:pPr>
        <w:spacing w:after="0" w:line="350" w:lineRule="exact"/>
        <w:rPr>
          <w:sz w:val="20"/>
          <w:szCs w:val="20"/>
          <w:color w:val="auto"/>
        </w:rPr>
      </w:pPr>
    </w:p>
    <w:p>
      <w:pPr>
        <w:ind w:left="400"/>
        <w:spacing w:after="0"/>
        <w:rPr>
          <w:sz w:val="20"/>
          <w:szCs w:val="20"/>
          <w:color w:val="auto"/>
        </w:rPr>
      </w:pPr>
      <w:r>
        <w:rPr>
          <w:rFonts w:ascii="Arial" w:cs="Arial" w:eastAsia="Arial" w:hAnsi="Arial"/>
          <w:sz w:val="14"/>
          <w:szCs w:val="14"/>
          <w:color w:val="auto"/>
        </w:rPr>
        <w:t>Cash equivalents (1):</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Money market funds</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Commercial paper</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Certificates of deposit</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Other (2)</w:t>
      </w:r>
    </w:p>
    <w:p>
      <w:pPr>
        <w:spacing w:after="0" w:line="26" w:lineRule="exact"/>
        <w:rPr>
          <w:sz w:val="20"/>
          <w:szCs w:val="20"/>
          <w:color w:val="auto"/>
        </w:rPr>
      </w:pPr>
    </w:p>
    <w:p>
      <w:pPr>
        <w:ind w:left="400"/>
        <w:spacing w:after="0"/>
        <w:rPr>
          <w:sz w:val="20"/>
          <w:szCs w:val="20"/>
          <w:color w:val="auto"/>
        </w:rPr>
      </w:pPr>
      <w:r>
        <w:rPr>
          <w:rFonts w:ascii="Arial" w:cs="Arial" w:eastAsia="Arial" w:hAnsi="Arial"/>
          <w:sz w:val="14"/>
          <w:szCs w:val="14"/>
          <w:color w:val="auto"/>
        </w:rPr>
        <w:t>Marketable securities:</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Short-term</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Commercial paper</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Corporate debt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U.S. government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Asset-backed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Other (3)</w:t>
      </w:r>
    </w:p>
    <w:p>
      <w:pPr>
        <w:spacing w:after="0" w:line="26" w:lineRule="exact"/>
        <w:rPr>
          <w:sz w:val="20"/>
          <w:szCs w:val="20"/>
          <w:color w:val="auto"/>
        </w:rPr>
      </w:pPr>
    </w:p>
    <w:p>
      <w:pPr>
        <w:ind w:left="580"/>
        <w:spacing w:after="0"/>
        <w:rPr>
          <w:sz w:val="20"/>
          <w:szCs w:val="20"/>
          <w:color w:val="auto"/>
        </w:rPr>
      </w:pPr>
      <w:r>
        <w:rPr>
          <w:rFonts w:ascii="Arial" w:cs="Arial" w:eastAsia="Arial" w:hAnsi="Arial"/>
          <w:sz w:val="14"/>
          <w:szCs w:val="14"/>
          <w:color w:val="auto"/>
        </w:rPr>
        <w:t>Long-term</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Corporate debt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U.S. government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Asset-backed securities</w:t>
      </w:r>
    </w:p>
    <w:p>
      <w:pPr>
        <w:spacing w:after="0" w:line="26" w:lineRule="exact"/>
        <w:rPr>
          <w:sz w:val="20"/>
          <w:szCs w:val="20"/>
          <w:color w:val="auto"/>
        </w:rPr>
      </w:pPr>
    </w:p>
    <w:p>
      <w:pPr>
        <w:jc w:val="right"/>
        <w:ind w:right="980"/>
        <w:spacing w:after="0"/>
        <w:rPr>
          <w:sz w:val="20"/>
          <w:szCs w:val="20"/>
          <w:color w:val="auto"/>
        </w:rPr>
      </w:pPr>
      <w:r>
        <w:rPr>
          <w:rFonts w:ascii="Arial" w:cs="Arial" w:eastAsia="Arial" w:hAnsi="Arial"/>
          <w:sz w:val="14"/>
          <w:szCs w:val="14"/>
          <w:color w:val="auto"/>
        </w:rPr>
        <w:t>Agency mortgage backed securities</w:t>
      </w:r>
    </w:p>
    <w:p>
      <w:pPr>
        <w:spacing w:after="0" w:line="26" w:lineRule="exact"/>
        <w:rPr>
          <w:sz w:val="20"/>
          <w:szCs w:val="20"/>
          <w:color w:val="auto"/>
        </w:rPr>
      </w:pPr>
    </w:p>
    <w:p>
      <w:pPr>
        <w:ind w:left="780"/>
        <w:spacing w:after="0"/>
        <w:rPr>
          <w:sz w:val="20"/>
          <w:szCs w:val="20"/>
          <w:color w:val="auto"/>
        </w:rPr>
      </w:pPr>
      <w:r>
        <w:rPr>
          <w:rFonts w:ascii="Arial" w:cs="Arial" w:eastAsia="Arial" w:hAnsi="Arial"/>
          <w:sz w:val="14"/>
          <w:szCs w:val="14"/>
          <w:color w:val="auto"/>
        </w:rPr>
        <w:t>Other (4)</w:t>
      </w:r>
    </w:p>
    <w:p>
      <w:pPr>
        <w:spacing w:after="0" w:line="26" w:lineRule="exact"/>
        <w:rPr>
          <w:sz w:val="20"/>
          <w:szCs w:val="20"/>
          <w:color w:val="auto"/>
        </w:rPr>
      </w:pPr>
    </w:p>
    <w:p>
      <w:pPr>
        <w:ind w:left="400"/>
        <w:spacing w:after="0"/>
        <w:rPr>
          <w:sz w:val="20"/>
          <w:szCs w:val="20"/>
          <w:color w:val="auto"/>
        </w:rPr>
      </w:pPr>
      <w:r>
        <w:rPr>
          <w:rFonts w:ascii="Arial" w:cs="Arial" w:eastAsia="Arial" w:hAnsi="Arial"/>
          <w:sz w:val="14"/>
          <w:szCs w:val="14"/>
          <w:color w:val="auto"/>
        </w:rPr>
        <w:t>Mutual funds (5) (6)</w:t>
      </w:r>
    </w:p>
    <w:p>
      <w:pPr>
        <w:spacing w:after="0" w:line="26" w:lineRule="exact"/>
        <w:rPr>
          <w:sz w:val="20"/>
          <w:szCs w:val="20"/>
          <w:color w:val="auto"/>
        </w:rPr>
      </w:pPr>
    </w:p>
    <w:p>
      <w:pPr>
        <w:ind w:left="400"/>
        <w:spacing w:after="0"/>
        <w:rPr>
          <w:sz w:val="20"/>
          <w:szCs w:val="20"/>
          <w:color w:val="auto"/>
        </w:rPr>
      </w:pPr>
      <w:r>
        <w:rPr>
          <w:rFonts w:ascii="Arial" w:cs="Arial" w:eastAsia="Arial" w:hAnsi="Arial"/>
          <w:sz w:val="14"/>
          <w:szCs w:val="14"/>
          <w:color w:val="auto"/>
        </w:rPr>
        <w:t>Convertible debt securities (6)</w:t>
      </w:r>
    </w:p>
    <w:p>
      <w:pPr>
        <w:spacing w:after="0" w:line="62" w:lineRule="exact"/>
        <w:rPr>
          <w:sz w:val="20"/>
          <w:szCs w:val="20"/>
          <w:color w:val="auto"/>
        </w:rPr>
      </w:pPr>
    </w:p>
    <w:p>
      <w:pPr>
        <w:ind w:left="580"/>
        <w:spacing w:after="0"/>
        <w:rPr>
          <w:sz w:val="20"/>
          <w:szCs w:val="20"/>
          <w:color w:val="auto"/>
        </w:rPr>
      </w:pPr>
      <w:r>
        <w:rPr>
          <w:rFonts w:ascii="Arial" w:cs="Arial" w:eastAsia="Arial" w:hAnsi="Arial"/>
          <w:sz w:val="14"/>
          <w:szCs w:val="14"/>
          <w:color w:val="auto"/>
        </w:rPr>
        <w:t>Total</w:t>
      </w:r>
    </w:p>
    <w:p>
      <w:pPr>
        <w:spacing w:after="0" w:line="20" w:lineRule="exact"/>
        <w:rPr>
          <w:sz w:val="20"/>
          <w:szCs w:val="20"/>
          <w:color w:val="auto"/>
        </w:rPr>
      </w:pPr>
      <w:r>
        <w:rPr>
          <w:sz w:val="20"/>
          <w:szCs w:val="20"/>
          <w:color w:val="auto"/>
        </w:rPr>
        <w:br w:type="column"/>
      </w:r>
    </w:p>
    <w:p>
      <w:pPr>
        <w:spacing w:after="0" w:line="10"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21"/>
        </w:trPr>
        <w:tc>
          <w:tcPr>
            <w:tcW w:w="1400" w:type="dxa"/>
            <w:vAlign w:val="bottom"/>
            <w:tcBorders>
              <w:top w:val="single" w:sz="8" w:color="auto"/>
            </w:tcBorders>
            <w:gridSpan w:val="2"/>
            <w:vMerge w:val="restart"/>
          </w:tcPr>
          <w:p>
            <w:pPr>
              <w:ind w:left="420"/>
              <w:spacing w:after="0"/>
              <w:rPr>
                <w:sz w:val="20"/>
                <w:szCs w:val="20"/>
                <w:color w:val="auto"/>
              </w:rPr>
            </w:pPr>
            <w:r>
              <w:rPr>
                <w:rFonts w:ascii="Arial" w:cs="Arial" w:eastAsia="Arial" w:hAnsi="Arial"/>
                <w:sz w:val="13"/>
                <w:szCs w:val="13"/>
                <w:b w:val="1"/>
                <w:bCs w:val="1"/>
                <w:color w:val="auto"/>
                <w:w w:val="99"/>
              </w:rPr>
              <w:t>Amortized Cost</w:t>
            </w:r>
          </w:p>
        </w:tc>
        <w:tc>
          <w:tcPr>
            <w:tcW w:w="100" w:type="dxa"/>
            <w:vAlign w:val="bottom"/>
            <w:tcBorders>
              <w:top w:val="single" w:sz="8" w:color="auto"/>
            </w:tcBorders>
          </w:tcPr>
          <w:p>
            <w:pPr>
              <w:spacing w:after="0"/>
              <w:rPr>
                <w:sz w:val="10"/>
                <w:szCs w:val="10"/>
                <w:color w:val="auto"/>
              </w:rPr>
            </w:pPr>
          </w:p>
        </w:tc>
        <w:tc>
          <w:tcPr>
            <w:tcW w:w="580" w:type="dxa"/>
            <w:vAlign w:val="bottom"/>
            <w:tcBorders>
              <w:top w:val="single" w:sz="8" w:color="auto"/>
            </w:tcBorders>
          </w:tcPr>
          <w:p>
            <w:pPr>
              <w:spacing w:after="0"/>
              <w:rPr>
                <w:sz w:val="10"/>
                <w:szCs w:val="10"/>
                <w:color w:val="auto"/>
              </w:rPr>
            </w:pPr>
          </w:p>
        </w:tc>
        <w:tc>
          <w:tcPr>
            <w:tcW w:w="760" w:type="dxa"/>
            <w:vAlign w:val="bottom"/>
            <w:tcBorders>
              <w:top w:val="single" w:sz="8" w:color="auto"/>
            </w:tcBorders>
          </w:tcPr>
          <w:p>
            <w:pPr>
              <w:jc w:val="right"/>
              <w:ind w:right="230"/>
              <w:spacing w:after="0" w:line="121" w:lineRule="exact"/>
              <w:rPr>
                <w:sz w:val="20"/>
                <w:szCs w:val="20"/>
                <w:color w:val="auto"/>
              </w:rPr>
            </w:pPr>
            <w:r>
              <w:rPr>
                <w:rFonts w:ascii="Arial" w:cs="Arial" w:eastAsia="Arial" w:hAnsi="Arial"/>
                <w:sz w:val="13"/>
                <w:szCs w:val="13"/>
                <w:b w:val="1"/>
                <w:bCs w:val="1"/>
                <w:color w:val="auto"/>
              </w:rPr>
              <w:t>Gross</w:t>
            </w:r>
          </w:p>
        </w:tc>
        <w:tc>
          <w:tcPr>
            <w:tcW w:w="100" w:type="dxa"/>
            <w:vAlign w:val="bottom"/>
            <w:tcBorders>
              <w:top w:val="single" w:sz="8" w:color="auto"/>
            </w:tcBorders>
          </w:tcPr>
          <w:p>
            <w:pPr>
              <w:spacing w:after="0"/>
              <w:rPr>
                <w:sz w:val="10"/>
                <w:szCs w:val="10"/>
                <w:color w:val="auto"/>
              </w:rPr>
            </w:pPr>
          </w:p>
        </w:tc>
        <w:tc>
          <w:tcPr>
            <w:tcW w:w="560" w:type="dxa"/>
            <w:vAlign w:val="bottom"/>
            <w:tcBorders>
              <w:top w:val="single" w:sz="8" w:color="auto"/>
            </w:tcBorders>
          </w:tcPr>
          <w:p>
            <w:pPr>
              <w:spacing w:after="0"/>
              <w:rPr>
                <w:sz w:val="10"/>
                <w:szCs w:val="10"/>
                <w:color w:val="auto"/>
              </w:rPr>
            </w:pPr>
          </w:p>
        </w:tc>
        <w:tc>
          <w:tcPr>
            <w:tcW w:w="760" w:type="dxa"/>
            <w:vAlign w:val="bottom"/>
            <w:tcBorders>
              <w:top w:val="single" w:sz="8" w:color="auto"/>
            </w:tcBorders>
          </w:tcPr>
          <w:p>
            <w:pPr>
              <w:ind w:left="100"/>
              <w:spacing w:after="0" w:line="121" w:lineRule="exact"/>
              <w:rPr>
                <w:sz w:val="20"/>
                <w:szCs w:val="20"/>
                <w:color w:val="auto"/>
              </w:rPr>
            </w:pPr>
            <w:r>
              <w:rPr>
                <w:rFonts w:ascii="Arial" w:cs="Arial" w:eastAsia="Arial" w:hAnsi="Arial"/>
                <w:sz w:val="13"/>
                <w:szCs w:val="13"/>
                <w:b w:val="1"/>
                <w:bCs w:val="1"/>
                <w:color w:val="auto"/>
              </w:rPr>
              <w:t>Gross</w:t>
            </w:r>
          </w:p>
        </w:tc>
        <w:tc>
          <w:tcPr>
            <w:tcW w:w="100" w:type="dxa"/>
            <w:vAlign w:val="bottom"/>
            <w:tcBorders>
              <w:top w:val="single" w:sz="8" w:color="auto"/>
            </w:tcBorders>
          </w:tcPr>
          <w:p>
            <w:pPr>
              <w:spacing w:after="0"/>
              <w:rPr>
                <w:sz w:val="10"/>
                <w:szCs w:val="10"/>
                <w:color w:val="auto"/>
              </w:rPr>
            </w:pPr>
          </w:p>
        </w:tc>
        <w:tc>
          <w:tcPr>
            <w:tcW w:w="540" w:type="dxa"/>
            <w:vAlign w:val="bottom"/>
            <w:tcBorders>
              <w:top w:val="single" w:sz="8" w:color="auto"/>
            </w:tcBorders>
          </w:tcPr>
          <w:p>
            <w:pPr>
              <w:spacing w:after="0"/>
              <w:rPr>
                <w:sz w:val="10"/>
                <w:szCs w:val="10"/>
                <w:color w:val="auto"/>
              </w:rPr>
            </w:pPr>
          </w:p>
        </w:tc>
        <w:tc>
          <w:tcPr>
            <w:tcW w:w="880" w:type="dxa"/>
            <w:vAlign w:val="bottom"/>
            <w:tcBorders>
              <w:top w:val="single" w:sz="8" w:color="auto"/>
            </w:tcBorders>
            <w:vMerge w:val="restart"/>
          </w:tcPr>
          <w:p>
            <w:pPr>
              <w:jc w:val="right"/>
              <w:ind w:right="130"/>
              <w:spacing w:after="0"/>
              <w:rPr>
                <w:sz w:val="20"/>
                <w:szCs w:val="20"/>
                <w:color w:val="auto"/>
              </w:rPr>
            </w:pPr>
            <w:r>
              <w:rPr>
                <w:rFonts w:ascii="Arial" w:cs="Arial" w:eastAsia="Arial" w:hAnsi="Arial"/>
                <w:sz w:val="13"/>
                <w:szCs w:val="13"/>
                <w:b w:val="1"/>
                <w:bCs w:val="1"/>
                <w:color w:val="auto"/>
              </w:rPr>
              <w:t>Fair Value</w:t>
            </w:r>
          </w:p>
        </w:tc>
        <w:tc>
          <w:tcPr>
            <w:tcW w:w="0" w:type="dxa"/>
            <w:vAlign w:val="bottom"/>
          </w:tcPr>
          <w:p>
            <w:pPr>
              <w:spacing w:after="0"/>
              <w:rPr>
                <w:sz w:val="1"/>
                <w:szCs w:val="1"/>
                <w:color w:val="auto"/>
              </w:rPr>
            </w:pPr>
          </w:p>
        </w:tc>
      </w:tr>
      <w:tr>
        <w:trPr>
          <w:trHeight w:val="176"/>
        </w:trPr>
        <w:tc>
          <w:tcPr>
            <w:tcW w:w="1400" w:type="dxa"/>
            <w:vAlign w:val="bottom"/>
            <w:tcBorders>
              <w:bottom w:val="single" w:sz="8" w:color="auto"/>
            </w:tcBorders>
            <w:gridSpan w:val="2"/>
            <w:vMerge w:val="continue"/>
          </w:tcPr>
          <w:p>
            <w:pPr>
              <w:spacing w:after="0"/>
              <w:rPr>
                <w:sz w:val="15"/>
                <w:szCs w:val="15"/>
                <w:color w:val="auto"/>
              </w:rPr>
            </w:pPr>
          </w:p>
        </w:tc>
        <w:tc>
          <w:tcPr>
            <w:tcW w:w="100" w:type="dxa"/>
            <w:vAlign w:val="bottom"/>
          </w:tcPr>
          <w:p>
            <w:pPr>
              <w:spacing w:after="0"/>
              <w:rPr>
                <w:sz w:val="15"/>
                <w:szCs w:val="15"/>
                <w:color w:val="auto"/>
              </w:rPr>
            </w:pPr>
          </w:p>
        </w:tc>
        <w:tc>
          <w:tcPr>
            <w:tcW w:w="1340" w:type="dxa"/>
            <w:vAlign w:val="bottom"/>
            <w:tcBorders>
              <w:bottom w:val="single" w:sz="8" w:color="auto"/>
            </w:tcBorders>
            <w:gridSpan w:val="2"/>
          </w:tcPr>
          <w:p>
            <w:pPr>
              <w:jc w:val="right"/>
              <w:ind w:right="70"/>
              <w:spacing w:after="0"/>
              <w:rPr>
                <w:sz w:val="20"/>
                <w:szCs w:val="20"/>
                <w:color w:val="auto"/>
              </w:rPr>
            </w:pPr>
            <w:r>
              <w:rPr>
                <w:rFonts w:ascii="Arial" w:cs="Arial" w:eastAsia="Arial" w:hAnsi="Arial"/>
                <w:sz w:val="13"/>
                <w:szCs w:val="13"/>
                <w:b w:val="1"/>
                <w:bCs w:val="1"/>
                <w:color w:val="auto"/>
              </w:rPr>
              <w:t>Unrealized Gains</w:t>
            </w:r>
          </w:p>
        </w:tc>
        <w:tc>
          <w:tcPr>
            <w:tcW w:w="100" w:type="dxa"/>
            <w:vAlign w:val="bottom"/>
          </w:tcPr>
          <w:p>
            <w:pPr>
              <w:spacing w:after="0"/>
              <w:rPr>
                <w:sz w:val="15"/>
                <w:szCs w:val="15"/>
                <w:color w:val="auto"/>
              </w:rPr>
            </w:pPr>
          </w:p>
        </w:tc>
        <w:tc>
          <w:tcPr>
            <w:tcW w:w="1320" w:type="dxa"/>
            <w:vAlign w:val="bottom"/>
            <w:tcBorders>
              <w:bottom w:val="single" w:sz="8" w:color="auto"/>
            </w:tcBorders>
            <w:gridSpan w:val="2"/>
          </w:tcPr>
          <w:p>
            <w:pPr>
              <w:ind w:left="100"/>
              <w:spacing w:after="0"/>
              <w:rPr>
                <w:sz w:val="20"/>
                <w:szCs w:val="20"/>
                <w:color w:val="auto"/>
              </w:rPr>
            </w:pPr>
            <w:r>
              <w:rPr>
                <w:rFonts w:ascii="Arial" w:cs="Arial" w:eastAsia="Arial" w:hAnsi="Arial"/>
                <w:sz w:val="13"/>
                <w:szCs w:val="13"/>
                <w:b w:val="1"/>
                <w:bCs w:val="1"/>
                <w:color w:val="auto"/>
              </w:rPr>
              <w:t>Unrealized Losses</w:t>
            </w:r>
          </w:p>
        </w:tc>
        <w:tc>
          <w:tcPr>
            <w:tcW w:w="100" w:type="dxa"/>
            <w:vAlign w:val="bottom"/>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88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50"/>
        </w:trPr>
        <w:tc>
          <w:tcPr>
            <w:tcW w:w="740" w:type="dxa"/>
            <w:vAlign w:val="bottom"/>
          </w:tcPr>
          <w:p>
            <w:pPr>
              <w:ind w:left="380"/>
              <w:spacing w:after="0"/>
              <w:rPr>
                <w:sz w:val="20"/>
                <w:szCs w:val="20"/>
                <w:color w:val="auto"/>
              </w:rPr>
            </w:pPr>
            <w:r>
              <w:rPr>
                <w:rFonts w:ascii="Arial" w:cs="Arial" w:eastAsia="Arial" w:hAnsi="Arial"/>
                <w:sz w:val="14"/>
                <w:szCs w:val="14"/>
                <w:color w:val="auto"/>
              </w:rPr>
              <w:t>$</w:t>
            </w:r>
          </w:p>
        </w:tc>
        <w:tc>
          <w:tcPr>
            <w:tcW w:w="660" w:type="dxa"/>
            <w:vAlign w:val="bottom"/>
          </w:tcPr>
          <w:p>
            <w:pPr>
              <w:jc w:val="right"/>
              <w:spacing w:after="0"/>
              <w:rPr>
                <w:sz w:val="20"/>
                <w:szCs w:val="20"/>
                <w:color w:val="auto"/>
              </w:rPr>
            </w:pPr>
            <w:r>
              <w:rPr>
                <w:rFonts w:ascii="Arial" w:cs="Arial" w:eastAsia="Arial" w:hAnsi="Arial"/>
                <w:sz w:val="14"/>
                <w:szCs w:val="14"/>
                <w:color w:val="auto"/>
              </w:rPr>
              <w:t>576</w:t>
            </w:r>
          </w:p>
        </w:tc>
        <w:tc>
          <w:tcPr>
            <w:tcW w:w="680" w:type="dxa"/>
            <w:vAlign w:val="bottom"/>
            <w:gridSpan w:val="2"/>
          </w:tcPr>
          <w:p>
            <w:pPr>
              <w:jc w:val="right"/>
              <w:ind w:right="36"/>
              <w:spacing w:after="0"/>
              <w:rPr>
                <w:sz w:val="20"/>
                <w:szCs w:val="20"/>
                <w:color w:val="auto"/>
              </w:rPr>
            </w:pPr>
            <w:r>
              <w:rPr>
                <w:rFonts w:ascii="Arial" w:cs="Arial" w:eastAsia="Arial" w:hAnsi="Arial"/>
                <w:sz w:val="14"/>
                <w:szCs w:val="14"/>
                <w:color w:val="auto"/>
              </w:rPr>
              <w:t>$</w:t>
            </w: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660" w:type="dxa"/>
            <w:vAlign w:val="bottom"/>
            <w:gridSpan w:val="2"/>
          </w:tcPr>
          <w:p>
            <w:pPr>
              <w:jc w:val="right"/>
              <w:ind w:right="36"/>
              <w:spacing w:after="0"/>
              <w:rPr>
                <w:sz w:val="20"/>
                <w:szCs w:val="20"/>
                <w:color w:val="auto"/>
              </w:rPr>
            </w:pPr>
            <w:r>
              <w:rPr>
                <w:rFonts w:ascii="Arial" w:cs="Arial" w:eastAsia="Arial" w:hAnsi="Arial"/>
                <w:sz w:val="14"/>
                <w:szCs w:val="14"/>
                <w:color w:val="auto"/>
              </w:rPr>
              <w:t>$</w:t>
            </w: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6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880" w:type="dxa"/>
            <w:vAlign w:val="bottom"/>
          </w:tcPr>
          <w:p>
            <w:pPr>
              <w:jc w:val="right"/>
              <w:spacing w:after="0"/>
              <w:rPr>
                <w:sz w:val="20"/>
                <w:szCs w:val="20"/>
                <w:color w:val="auto"/>
              </w:rPr>
            </w:pPr>
            <w:r>
              <w:rPr>
                <w:rFonts w:ascii="Arial" w:cs="Arial" w:eastAsia="Arial" w:hAnsi="Arial"/>
                <w:sz w:val="14"/>
                <w:szCs w:val="14"/>
                <w:color w:val="auto"/>
              </w:rPr>
              <w:t>576</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203</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203</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137</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137</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20</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20</w:t>
            </w:r>
          </w:p>
        </w:tc>
        <w:tc>
          <w:tcPr>
            <w:tcW w:w="0" w:type="dxa"/>
            <w:vAlign w:val="bottom"/>
          </w:tcPr>
          <w:p>
            <w:pPr>
              <w:spacing w:after="0"/>
              <w:rPr>
                <w:sz w:val="1"/>
                <w:szCs w:val="1"/>
                <w:color w:val="auto"/>
              </w:rPr>
            </w:pPr>
          </w:p>
        </w:tc>
      </w:tr>
      <w:tr>
        <w:trPr>
          <w:trHeight w:val="562"/>
        </w:trPr>
        <w:tc>
          <w:tcPr>
            <w:tcW w:w="740" w:type="dxa"/>
            <w:vAlign w:val="bottom"/>
          </w:tcPr>
          <w:p>
            <w:pPr>
              <w:spacing w:after="0"/>
              <w:rPr>
                <w:sz w:val="24"/>
                <w:szCs w:val="24"/>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120</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120</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40</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40</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33</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33</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21</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21</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8</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8</w:t>
            </w:r>
          </w:p>
        </w:tc>
        <w:tc>
          <w:tcPr>
            <w:tcW w:w="0" w:type="dxa"/>
            <w:vAlign w:val="bottom"/>
          </w:tcPr>
          <w:p>
            <w:pPr>
              <w:spacing w:after="0"/>
              <w:rPr>
                <w:sz w:val="1"/>
                <w:szCs w:val="1"/>
                <w:color w:val="auto"/>
              </w:rPr>
            </w:pPr>
          </w:p>
        </w:tc>
      </w:tr>
      <w:tr>
        <w:trPr>
          <w:trHeight w:val="375"/>
        </w:trPr>
        <w:tc>
          <w:tcPr>
            <w:tcW w:w="740" w:type="dxa"/>
            <w:vAlign w:val="bottom"/>
          </w:tcPr>
          <w:p>
            <w:pPr>
              <w:spacing w:after="0"/>
              <w:rPr>
                <w:sz w:val="24"/>
                <w:szCs w:val="24"/>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74</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74</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55</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55</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22</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22</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19</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19</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15</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15</w:t>
            </w:r>
          </w:p>
        </w:tc>
        <w:tc>
          <w:tcPr>
            <w:tcW w:w="0" w:type="dxa"/>
            <w:vAlign w:val="bottom"/>
          </w:tcPr>
          <w:p>
            <w:pPr>
              <w:spacing w:after="0"/>
              <w:rPr>
                <w:sz w:val="1"/>
                <w:szCs w:val="1"/>
                <w:color w:val="auto"/>
              </w:rPr>
            </w:pPr>
          </w:p>
        </w:tc>
      </w:tr>
      <w:tr>
        <w:trPr>
          <w:trHeight w:val="187"/>
        </w:trPr>
        <w:tc>
          <w:tcPr>
            <w:tcW w:w="74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84</w:t>
            </w: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Arial" w:cs="Arial" w:eastAsia="Arial" w:hAnsi="Arial"/>
                <w:sz w:val="14"/>
                <w:szCs w:val="14"/>
                <w:color w:val="auto"/>
              </w:rPr>
              <w:t>7</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60" w:type="dxa"/>
            <w:vAlign w:val="bottom"/>
          </w:tcPr>
          <w:p>
            <w:pPr>
              <w:ind w:left="560"/>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880" w:type="dxa"/>
            <w:vAlign w:val="bottom"/>
          </w:tcPr>
          <w:p>
            <w:pPr>
              <w:jc w:val="right"/>
              <w:spacing w:after="0"/>
              <w:rPr>
                <w:sz w:val="20"/>
                <w:szCs w:val="20"/>
                <w:color w:val="auto"/>
              </w:rPr>
            </w:pPr>
            <w:r>
              <w:rPr>
                <w:rFonts w:ascii="Arial" w:cs="Arial" w:eastAsia="Arial" w:hAnsi="Arial"/>
                <w:sz w:val="14"/>
                <w:szCs w:val="14"/>
                <w:color w:val="auto"/>
              </w:rPr>
              <w:t>90</w:t>
            </w:r>
          </w:p>
        </w:tc>
        <w:tc>
          <w:tcPr>
            <w:tcW w:w="0" w:type="dxa"/>
            <w:vAlign w:val="bottom"/>
          </w:tcPr>
          <w:p>
            <w:pPr>
              <w:spacing w:after="0"/>
              <w:rPr>
                <w:sz w:val="1"/>
                <w:szCs w:val="1"/>
                <w:color w:val="auto"/>
              </w:rPr>
            </w:pPr>
          </w:p>
        </w:tc>
      </w:tr>
      <w:tr>
        <w:trPr>
          <w:trHeight w:val="190"/>
        </w:trPr>
        <w:tc>
          <w:tcPr>
            <w:tcW w:w="74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w:t>
            </w:r>
          </w:p>
        </w:tc>
        <w:tc>
          <w:tcPr>
            <w:tcW w:w="100" w:type="dxa"/>
            <w:vAlign w:val="bottom"/>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ind w:left="560"/>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8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179"/>
        </w:trPr>
        <w:tc>
          <w:tcPr>
            <w:tcW w:w="740" w:type="dxa"/>
            <w:vAlign w:val="bottom"/>
          </w:tcPr>
          <w:p>
            <w:pPr>
              <w:ind w:left="380"/>
              <w:spacing w:after="0"/>
              <w:rPr>
                <w:sz w:val="20"/>
                <w:szCs w:val="20"/>
                <w:color w:val="auto"/>
              </w:rPr>
            </w:pPr>
            <w:r>
              <w:rPr>
                <w:rFonts w:ascii="Arial" w:cs="Arial" w:eastAsia="Arial" w:hAnsi="Arial"/>
                <w:sz w:val="14"/>
                <w:szCs w:val="14"/>
                <w:color w:val="auto"/>
              </w:rPr>
              <w:t>$</w:t>
            </w:r>
          </w:p>
        </w:tc>
        <w:tc>
          <w:tcPr>
            <w:tcW w:w="660" w:type="dxa"/>
            <w:vAlign w:val="bottom"/>
          </w:tcPr>
          <w:p>
            <w:pPr>
              <w:jc w:val="right"/>
              <w:spacing w:after="0"/>
              <w:rPr>
                <w:sz w:val="20"/>
                <w:szCs w:val="20"/>
                <w:color w:val="auto"/>
              </w:rPr>
            </w:pPr>
            <w:r>
              <w:rPr>
                <w:rFonts w:ascii="Arial" w:cs="Arial" w:eastAsia="Arial" w:hAnsi="Arial"/>
                <w:sz w:val="14"/>
                <w:szCs w:val="14"/>
                <w:color w:val="auto"/>
              </w:rPr>
              <w:t>1,430</w:t>
            </w:r>
          </w:p>
        </w:tc>
        <w:tc>
          <w:tcPr>
            <w:tcW w:w="680" w:type="dxa"/>
            <w:vAlign w:val="bottom"/>
            <w:gridSpan w:val="2"/>
          </w:tcPr>
          <w:p>
            <w:pPr>
              <w:jc w:val="right"/>
              <w:ind w:right="36"/>
              <w:spacing w:after="0"/>
              <w:rPr>
                <w:sz w:val="20"/>
                <w:szCs w:val="20"/>
                <w:color w:val="auto"/>
              </w:rPr>
            </w:pPr>
            <w:r>
              <w:rPr>
                <w:rFonts w:ascii="Arial" w:cs="Arial" w:eastAsia="Arial" w:hAnsi="Arial"/>
                <w:sz w:val="14"/>
                <w:szCs w:val="14"/>
                <w:color w:val="auto"/>
              </w:rPr>
              <w:t>$</w:t>
            </w:r>
          </w:p>
        </w:tc>
        <w:tc>
          <w:tcPr>
            <w:tcW w:w="760" w:type="dxa"/>
            <w:vAlign w:val="bottom"/>
          </w:tcPr>
          <w:p>
            <w:pPr>
              <w:jc w:val="right"/>
              <w:spacing w:after="0"/>
              <w:rPr>
                <w:sz w:val="20"/>
                <w:szCs w:val="20"/>
                <w:color w:val="auto"/>
              </w:rPr>
            </w:pPr>
            <w:r>
              <w:rPr>
                <w:rFonts w:ascii="Arial" w:cs="Arial" w:eastAsia="Arial" w:hAnsi="Arial"/>
                <w:sz w:val="14"/>
                <w:szCs w:val="14"/>
                <w:color w:val="auto"/>
              </w:rPr>
              <w:t>9</w:t>
            </w:r>
          </w:p>
        </w:tc>
        <w:tc>
          <w:tcPr>
            <w:tcW w:w="660" w:type="dxa"/>
            <w:vAlign w:val="bottom"/>
            <w:gridSpan w:val="2"/>
          </w:tcPr>
          <w:p>
            <w:pPr>
              <w:jc w:val="right"/>
              <w:ind w:right="36"/>
              <w:spacing w:after="0"/>
              <w:rPr>
                <w:sz w:val="20"/>
                <w:szCs w:val="20"/>
                <w:color w:val="auto"/>
              </w:rPr>
            </w:pPr>
            <w:r>
              <w:rPr>
                <w:rFonts w:ascii="Arial" w:cs="Arial" w:eastAsia="Arial" w:hAnsi="Arial"/>
                <w:sz w:val="14"/>
                <w:szCs w:val="14"/>
                <w:color w:val="auto"/>
              </w:rPr>
              <w:t>$</w:t>
            </w:r>
          </w:p>
        </w:tc>
        <w:tc>
          <w:tcPr>
            <w:tcW w:w="760" w:type="dxa"/>
            <w:vAlign w:val="bottom"/>
          </w:tcPr>
          <w:p>
            <w:pPr>
              <w:ind w:left="560"/>
              <w:spacing w:after="0"/>
              <w:rPr>
                <w:sz w:val="20"/>
                <w:szCs w:val="20"/>
                <w:color w:val="auto"/>
              </w:rPr>
            </w:pPr>
            <w:r>
              <w:rPr>
                <w:rFonts w:ascii="Arial" w:cs="Arial" w:eastAsia="Arial" w:hAnsi="Arial"/>
                <w:sz w:val="14"/>
                <w:szCs w:val="14"/>
                <w:color w:val="auto"/>
              </w:rPr>
              <w:t>(4)</w:t>
            </w:r>
          </w:p>
        </w:tc>
        <w:tc>
          <w:tcPr>
            <w:tcW w:w="6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880" w:type="dxa"/>
            <w:vAlign w:val="bottom"/>
          </w:tcPr>
          <w:p>
            <w:pPr>
              <w:jc w:val="right"/>
              <w:spacing w:after="0"/>
              <w:rPr>
                <w:sz w:val="20"/>
                <w:szCs w:val="20"/>
                <w:color w:val="auto"/>
              </w:rPr>
            </w:pPr>
            <w:r>
              <w:rPr>
                <w:rFonts w:ascii="Arial" w:cs="Arial" w:eastAsia="Arial" w:hAnsi="Arial"/>
                <w:sz w:val="14"/>
                <w:szCs w:val="14"/>
                <w:color w:val="auto"/>
              </w:rPr>
              <w:t>1,435</w:t>
            </w:r>
          </w:p>
        </w:tc>
        <w:tc>
          <w:tcPr>
            <w:tcW w:w="0" w:type="dxa"/>
            <w:vAlign w:val="bottom"/>
          </w:tcPr>
          <w:p>
            <w:pPr>
              <w:spacing w:after="0"/>
              <w:rPr>
                <w:sz w:val="1"/>
                <w:szCs w:val="1"/>
                <w:color w:val="auto"/>
              </w:rPr>
            </w:pPr>
          </w:p>
        </w:tc>
      </w:tr>
      <w:tr>
        <w:trPr>
          <w:trHeight w:val="20"/>
        </w:trPr>
        <w:tc>
          <w:tcPr>
            <w:tcW w:w="74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-2981325</wp:posOffset>
            </wp:positionH>
            <wp:positionV relativeFrom="paragraph">
              <wp:posOffset>-2536190</wp:posOffset>
            </wp:positionV>
            <wp:extent cx="6650990" cy="1187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-2298065</wp:posOffset>
            </wp:positionV>
            <wp:extent cx="6650990" cy="1187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-2059940</wp:posOffset>
            </wp:positionV>
            <wp:extent cx="6650990" cy="1187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-1821815</wp:posOffset>
            </wp:positionV>
            <wp:extent cx="6650990" cy="1187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-1583690</wp:posOffset>
            </wp:positionV>
            <wp:extent cx="6650990" cy="1187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-1346200</wp:posOffset>
            </wp:positionV>
            <wp:extent cx="6650990" cy="1187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-1108075</wp:posOffset>
            </wp:positionV>
            <wp:extent cx="6650990" cy="1187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-869950</wp:posOffset>
            </wp:positionV>
            <wp:extent cx="6650990" cy="1187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-631825</wp:posOffset>
            </wp:positionV>
            <wp:extent cx="6650990" cy="1187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-393700</wp:posOffset>
            </wp:positionV>
            <wp:extent cx="6650990" cy="1187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6650990" cy="118745"/>
                    </a:xfrm>
                    <a:prstGeom prst="rect">
                      <a:avLst/>
                    </a:prstGeom>
                    <a:noFill/>
                  </pic:spPr>
                </pic:pic>
              </a:graphicData>
            </a:graphic>
          </wp:anchor>
        </w:drawing>
        <w:drawing>
          <wp:anchor simplePos="0" relativeHeight="251657728" behindDoc="1" locked="0" layoutInCell="0" allowOverlap="1">
            <wp:simplePos x="0" y="0"/>
            <wp:positionH relativeFrom="column">
              <wp:posOffset>-2981325</wp:posOffset>
            </wp:positionH>
            <wp:positionV relativeFrom="paragraph">
              <wp:posOffset>-155575</wp:posOffset>
            </wp:positionV>
            <wp:extent cx="6650990" cy="1416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6650990" cy="141605"/>
                    </a:xfrm>
                    <a:prstGeom prst="rect">
                      <a:avLst/>
                    </a:prstGeom>
                    <a:noFill/>
                  </pic:spPr>
                </pic:pic>
              </a:graphicData>
            </a:graphic>
          </wp:anchor>
        </w:drawing>
      </w:r>
    </w:p>
    <w:p>
      <w:pPr>
        <w:spacing w:after="0" w:line="63" w:lineRule="exact"/>
        <w:rPr>
          <w:sz w:val="20"/>
          <w:szCs w:val="20"/>
          <w:color w:val="auto"/>
        </w:rPr>
      </w:pPr>
    </w:p>
    <w:p>
      <w:pPr>
        <w:sectPr>
          <w:pgSz w:w="11900" w:h="16840" w:orient="portrait"/>
          <w:cols w:equalWidth="0" w:num="2">
            <w:col w:w="3980" w:space="720"/>
            <w:col w:w="5780"/>
          </w:cols>
          <w:pgMar w:left="660" w:top="1222" w:right="760" w:bottom="1440" w:gutter="0" w:footer="0" w:header="0"/>
          <w:type w:val="continuous"/>
        </w:sectPr>
      </w:pPr>
    </w:p>
    <w:p>
      <w:pPr>
        <w:spacing w:after="0"/>
        <w:rPr>
          <w:sz w:val="20"/>
          <w:szCs w:val="20"/>
          <w:color w:val="auto"/>
        </w:rPr>
      </w:pPr>
      <w:r>
        <w:rPr>
          <w:rFonts w:ascii="Arial" w:cs="Arial" w:eastAsia="Arial" w:hAnsi="Arial"/>
          <w:sz w:val="15"/>
          <w:szCs w:val="15"/>
          <w:color w:val="auto"/>
        </w:rPr>
        <w:t>___________________</w:t>
      </w:r>
    </w:p>
    <w:p>
      <w:pPr>
        <w:spacing w:after="0" w:line="12" w:lineRule="exact"/>
        <w:rPr>
          <w:sz w:val="20"/>
          <w:szCs w:val="20"/>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Included in “Cash and cash equivalents” in the accompanying Condensed Consolidated Balance Sheets. These investments are classified as debt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Agency discount notes, sovereign bonds, mortgage-backed securities, municipal bonds, and asset-backed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Consists of mortgage-backed securities, agency discount notes, and agency mortgage-backed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Consists of agency bonds, agency collateralized mortgage obligations, mortgage-backed securities, and collateralized mortgage obligations.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See Note 11, “Deferred Compensation” for more information.</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4"/>
        </w:numPr>
        <w:rPr>
          <w:rFonts w:ascii="Arial" w:cs="Arial" w:eastAsia="Arial" w:hAnsi="Arial"/>
          <w:sz w:val="14"/>
          <w:szCs w:val="14"/>
          <w:color w:val="auto"/>
        </w:rPr>
      </w:pPr>
      <w:r>
        <w:rPr>
          <w:rFonts w:ascii="Arial" w:cs="Arial" w:eastAsia="Arial" w:hAnsi="Arial"/>
          <w:sz w:val="14"/>
          <w:szCs w:val="14"/>
          <w:color w:val="auto"/>
        </w:rPr>
        <w:t>Included in “Prepaid expenses and other current assets” or “Long-term other assets” in the accompanying Condensed Consolidated Balance Sheets.</w:t>
      </w:r>
    </w:p>
    <w:p>
      <w:pPr>
        <w:spacing w:after="0" w:line="200" w:lineRule="exact"/>
        <w:rPr>
          <w:sz w:val="20"/>
          <w:szCs w:val="20"/>
          <w:color w:val="auto"/>
        </w:rPr>
      </w:pPr>
    </w:p>
    <w:p>
      <w:pPr>
        <w:spacing w:after="0" w:line="286" w:lineRule="exact"/>
        <w:rPr>
          <w:sz w:val="20"/>
          <w:szCs w:val="20"/>
          <w:color w:val="auto"/>
        </w:rPr>
      </w:pPr>
    </w:p>
    <w:p>
      <w:pPr>
        <w:jc w:val="center"/>
        <w:ind w:right="-99"/>
        <w:spacing w:after="0"/>
        <w:rPr>
          <w:sz w:val="20"/>
          <w:szCs w:val="20"/>
          <w:color w:val="auto"/>
        </w:rPr>
      </w:pPr>
      <w:r>
        <w:rPr>
          <w:rFonts w:ascii="Arial" w:cs="Arial" w:eastAsia="Arial" w:hAnsi="Arial"/>
          <w:sz w:val="15"/>
          <w:szCs w:val="15"/>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480"/>
          </w:cols>
          <w:pgMar w:left="660" w:top="1222" w:right="760" w:bottom="1440" w:gutter="0" w:footer="0" w:header="0"/>
          <w:type w:val="continuous"/>
        </w:sectPr>
      </w:pPr>
    </w:p>
    <w:bookmarkStart w:id="11" w:name="page12"/>
    <w:bookmarkEnd w:id="11"/>
    <w:p>
      <w:pPr>
        <w:spacing w:after="0" w:line="4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5800" w:type="dxa"/>
            <w:vAlign w:val="bottom"/>
          </w:tcPr>
          <w:p>
            <w:pPr>
              <w:spacing w:after="0"/>
              <w:rPr>
                <w:sz w:val="15"/>
                <w:szCs w:val="15"/>
                <w:color w:val="auto"/>
              </w:rPr>
            </w:pPr>
          </w:p>
        </w:tc>
        <w:tc>
          <w:tcPr>
            <w:tcW w:w="36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2060" w:type="dxa"/>
            <w:vAlign w:val="bottom"/>
            <w:tcBorders>
              <w:bottom w:val="single" w:sz="8" w:color="auto"/>
            </w:tcBorders>
            <w:gridSpan w:val="4"/>
          </w:tcPr>
          <w:p>
            <w:pPr>
              <w:ind w:left="480"/>
              <w:spacing w:after="0"/>
              <w:rPr>
                <w:sz w:val="20"/>
                <w:szCs w:val="20"/>
                <w:color w:val="auto"/>
              </w:rPr>
            </w:pPr>
            <w:r>
              <w:rPr>
                <w:rFonts w:ascii="Arial" w:cs="Arial" w:eastAsia="Arial" w:hAnsi="Arial"/>
                <w:sz w:val="13"/>
                <w:szCs w:val="13"/>
                <w:b w:val="1"/>
                <w:bCs w:val="1"/>
                <w:color w:val="auto"/>
              </w:rPr>
              <w:t>January 31, 2023</w:t>
            </w:r>
          </w:p>
        </w:tc>
        <w:tc>
          <w:tcPr>
            <w:tcW w:w="10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1"/>
        </w:trPr>
        <w:tc>
          <w:tcPr>
            <w:tcW w:w="5800" w:type="dxa"/>
            <w:vAlign w:val="bottom"/>
          </w:tcPr>
          <w:p>
            <w:pPr>
              <w:spacing w:after="0"/>
              <w:rPr>
                <w:sz w:val="10"/>
                <w:szCs w:val="10"/>
                <w:color w:val="auto"/>
              </w:rPr>
            </w:pPr>
          </w:p>
        </w:tc>
        <w:tc>
          <w:tcPr>
            <w:tcW w:w="36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180" w:type="dxa"/>
            <w:vAlign w:val="bottom"/>
            <w:gridSpan w:val="2"/>
            <w:vMerge w:val="restart"/>
          </w:tcPr>
          <w:p>
            <w:pPr>
              <w:jc w:val="right"/>
              <w:spacing w:after="0"/>
              <w:rPr>
                <w:sz w:val="20"/>
                <w:szCs w:val="20"/>
                <w:color w:val="auto"/>
              </w:rPr>
            </w:pPr>
            <w:r>
              <w:rPr>
                <w:rFonts w:ascii="Arial" w:cs="Arial" w:eastAsia="Arial" w:hAnsi="Arial"/>
                <w:sz w:val="13"/>
                <w:szCs w:val="13"/>
                <w:b w:val="1"/>
                <w:bCs w:val="1"/>
                <w:color w:val="auto"/>
              </w:rPr>
              <w:t>Gross Unrealized</w:t>
            </w: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900" w:type="dxa"/>
            <w:vAlign w:val="bottom"/>
          </w:tcPr>
          <w:p>
            <w:pPr>
              <w:jc w:val="center"/>
              <w:ind w:right="71"/>
              <w:spacing w:after="0" w:line="121" w:lineRule="exact"/>
              <w:rPr>
                <w:sz w:val="20"/>
                <w:szCs w:val="20"/>
                <w:color w:val="auto"/>
              </w:rPr>
            </w:pPr>
            <w:r>
              <w:rPr>
                <w:rFonts w:ascii="Arial" w:cs="Arial" w:eastAsia="Arial" w:hAnsi="Arial"/>
                <w:sz w:val="13"/>
                <w:szCs w:val="13"/>
                <w:b w:val="1"/>
                <w:bCs w:val="1"/>
                <w:color w:val="auto"/>
                <w:w w:val="95"/>
              </w:rPr>
              <w:t>Gross</w:t>
            </w:r>
          </w:p>
        </w:tc>
        <w:tc>
          <w:tcPr>
            <w:tcW w:w="10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0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5800" w:type="dxa"/>
            <w:vAlign w:val="bottom"/>
          </w:tcPr>
          <w:p>
            <w:pPr>
              <w:spacing w:after="0"/>
              <w:rPr>
                <w:sz w:val="11"/>
                <w:szCs w:val="11"/>
                <w:color w:val="auto"/>
              </w:rPr>
            </w:pPr>
          </w:p>
        </w:tc>
        <w:tc>
          <w:tcPr>
            <w:tcW w:w="1060" w:type="dxa"/>
            <w:vAlign w:val="bottom"/>
            <w:gridSpan w:val="2"/>
            <w:vMerge w:val="restart"/>
          </w:tcPr>
          <w:p>
            <w:pPr>
              <w:jc w:val="right"/>
              <w:spacing w:after="0"/>
              <w:rPr>
                <w:sz w:val="20"/>
                <w:szCs w:val="20"/>
                <w:color w:val="auto"/>
              </w:rPr>
            </w:pPr>
            <w:r>
              <w:rPr>
                <w:rFonts w:ascii="Arial" w:cs="Arial" w:eastAsia="Arial" w:hAnsi="Arial"/>
                <w:sz w:val="13"/>
                <w:szCs w:val="13"/>
                <w:b w:val="1"/>
                <w:bCs w:val="1"/>
                <w:color w:val="auto"/>
              </w:rPr>
              <w:t>Amortized Cost</w:t>
            </w:r>
          </w:p>
        </w:tc>
        <w:tc>
          <w:tcPr>
            <w:tcW w:w="100" w:type="dxa"/>
            <w:vAlign w:val="bottom"/>
          </w:tcPr>
          <w:p>
            <w:pPr>
              <w:spacing w:after="0"/>
              <w:rPr>
                <w:sz w:val="11"/>
                <w:szCs w:val="11"/>
                <w:color w:val="auto"/>
              </w:rPr>
            </w:pPr>
          </w:p>
        </w:tc>
        <w:tc>
          <w:tcPr>
            <w:tcW w:w="1180" w:type="dxa"/>
            <w:vAlign w:val="bottom"/>
            <w:gridSpan w:val="2"/>
            <w:vMerge w:val="continue"/>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900" w:type="dxa"/>
            <w:vAlign w:val="bottom"/>
          </w:tcPr>
          <w:p>
            <w:pPr>
              <w:jc w:val="center"/>
              <w:ind w:right="71"/>
              <w:spacing w:after="0" w:line="129" w:lineRule="exact"/>
              <w:rPr>
                <w:sz w:val="20"/>
                <w:szCs w:val="20"/>
                <w:color w:val="auto"/>
              </w:rPr>
            </w:pPr>
            <w:r>
              <w:rPr>
                <w:rFonts w:ascii="Arial" w:cs="Arial" w:eastAsia="Arial" w:hAnsi="Arial"/>
                <w:sz w:val="13"/>
                <w:szCs w:val="13"/>
                <w:b w:val="1"/>
                <w:bCs w:val="1"/>
                <w:color w:val="auto"/>
                <w:w w:val="97"/>
              </w:rPr>
              <w:t>Unrealized</w:t>
            </w:r>
          </w:p>
        </w:tc>
        <w:tc>
          <w:tcPr>
            <w:tcW w:w="10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040" w:type="dxa"/>
            <w:vAlign w:val="bottom"/>
            <w:vMerge w:val="restart"/>
          </w:tcPr>
          <w:p>
            <w:pPr>
              <w:jc w:val="right"/>
              <w:ind w:right="230"/>
              <w:spacing w:after="0"/>
              <w:rPr>
                <w:sz w:val="20"/>
                <w:szCs w:val="20"/>
                <w:color w:val="auto"/>
              </w:rPr>
            </w:pPr>
            <w:r>
              <w:rPr>
                <w:rFonts w:ascii="Arial" w:cs="Arial" w:eastAsia="Arial" w:hAnsi="Arial"/>
                <w:sz w:val="13"/>
                <w:szCs w:val="13"/>
                <w:b w:val="1"/>
                <w:bCs w:val="1"/>
                <w:color w:val="auto"/>
              </w:rPr>
              <w:t>Fair Value</w:t>
            </w:r>
          </w:p>
        </w:tc>
        <w:tc>
          <w:tcPr>
            <w:tcW w:w="0" w:type="dxa"/>
            <w:vAlign w:val="bottom"/>
          </w:tcPr>
          <w:p>
            <w:pPr>
              <w:spacing w:after="0"/>
              <w:rPr>
                <w:sz w:val="1"/>
                <w:szCs w:val="1"/>
                <w:color w:val="auto"/>
              </w:rPr>
            </w:pPr>
          </w:p>
        </w:tc>
      </w:tr>
      <w:tr>
        <w:trPr>
          <w:trHeight w:val="176"/>
        </w:trPr>
        <w:tc>
          <w:tcPr>
            <w:tcW w:w="5800" w:type="dxa"/>
            <w:vAlign w:val="bottom"/>
            <w:tcBorders>
              <w:bottom w:val="single" w:sz="8" w:color="CCEEFF"/>
            </w:tcBorders>
          </w:tcPr>
          <w:p>
            <w:pPr>
              <w:spacing w:after="0"/>
              <w:rPr>
                <w:sz w:val="15"/>
                <w:szCs w:val="15"/>
                <w:color w:val="auto"/>
              </w:rPr>
            </w:pPr>
          </w:p>
        </w:tc>
        <w:tc>
          <w:tcPr>
            <w:tcW w:w="1060" w:type="dxa"/>
            <w:vAlign w:val="bottom"/>
            <w:tcBorders>
              <w:bottom w:val="single" w:sz="8" w:color="auto"/>
            </w:tcBorders>
            <w:gridSpan w:val="2"/>
            <w:vMerge w:val="continue"/>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940" w:type="dxa"/>
            <w:vAlign w:val="bottom"/>
            <w:tcBorders>
              <w:bottom w:val="single" w:sz="8" w:color="auto"/>
            </w:tcBorders>
          </w:tcPr>
          <w:p>
            <w:pPr>
              <w:jc w:val="right"/>
              <w:ind w:right="350"/>
              <w:spacing w:after="0"/>
              <w:rPr>
                <w:sz w:val="20"/>
                <w:szCs w:val="20"/>
                <w:color w:val="auto"/>
              </w:rPr>
            </w:pPr>
            <w:r>
              <w:rPr>
                <w:rFonts w:ascii="Arial" w:cs="Arial" w:eastAsia="Arial" w:hAnsi="Arial"/>
                <w:sz w:val="13"/>
                <w:szCs w:val="13"/>
                <w:b w:val="1"/>
                <w:bCs w:val="1"/>
                <w:color w:val="auto"/>
              </w:rPr>
              <w:t>Gains</w:t>
            </w:r>
          </w:p>
        </w:tc>
        <w:tc>
          <w:tcPr>
            <w:tcW w:w="8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jc w:val="center"/>
              <w:ind w:right="71"/>
              <w:spacing w:after="0"/>
              <w:rPr>
                <w:sz w:val="20"/>
                <w:szCs w:val="20"/>
                <w:color w:val="auto"/>
              </w:rPr>
            </w:pPr>
            <w:r>
              <w:rPr>
                <w:rFonts w:ascii="Arial" w:cs="Arial" w:eastAsia="Arial" w:hAnsi="Arial"/>
                <w:sz w:val="13"/>
                <w:szCs w:val="13"/>
                <w:b w:val="1"/>
                <w:bCs w:val="1"/>
                <w:color w:val="auto"/>
                <w:w w:val="98"/>
              </w:rPr>
              <w:t>Losses</w:t>
            </w:r>
          </w:p>
        </w:tc>
        <w:tc>
          <w:tcPr>
            <w:tcW w:w="100" w:type="dxa"/>
            <w:vAlign w:val="bottom"/>
            <w:tcBorders>
              <w:bottom w:val="single" w:sz="8" w:color="CCEEFF"/>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5800" w:type="dxa"/>
            <w:vAlign w:val="bottom"/>
            <w:shd w:val="clear" w:color="auto" w:fill="CCEEFF"/>
          </w:tcPr>
          <w:p>
            <w:pPr>
              <w:ind w:left="20"/>
              <w:spacing w:after="0"/>
              <w:rPr>
                <w:sz w:val="20"/>
                <w:szCs w:val="20"/>
                <w:color w:val="auto"/>
              </w:rPr>
            </w:pPr>
            <w:r>
              <w:rPr>
                <w:rFonts w:ascii="Arial" w:cs="Arial" w:eastAsia="Arial" w:hAnsi="Arial"/>
                <w:sz w:val="14"/>
                <w:szCs w:val="14"/>
                <w:color w:val="auto"/>
              </w:rPr>
              <w:t>Cash equivalents (1):</w:t>
            </w:r>
          </w:p>
        </w:tc>
        <w:tc>
          <w:tcPr>
            <w:tcW w:w="360" w:type="dxa"/>
            <w:vAlign w:val="bottom"/>
            <w:shd w:val="clear" w:color="auto" w:fill="CCEEFF"/>
          </w:tcPr>
          <w:p>
            <w:pPr>
              <w:spacing w:after="0"/>
              <w:rPr>
                <w:sz w:val="14"/>
                <w:szCs w:val="14"/>
                <w:color w:val="auto"/>
              </w:rPr>
            </w:pPr>
          </w:p>
        </w:tc>
        <w:tc>
          <w:tcPr>
            <w:tcW w:w="70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240" w:type="dxa"/>
            <w:vAlign w:val="bottom"/>
            <w:shd w:val="clear" w:color="auto" w:fill="CCEEFF"/>
          </w:tcPr>
          <w:p>
            <w:pPr>
              <w:spacing w:after="0"/>
              <w:rPr>
                <w:sz w:val="14"/>
                <w:szCs w:val="14"/>
                <w:color w:val="auto"/>
              </w:rPr>
            </w:pPr>
          </w:p>
        </w:tc>
        <w:tc>
          <w:tcPr>
            <w:tcW w:w="94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90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04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5800" w:type="dxa"/>
            <w:vAlign w:val="bottom"/>
          </w:tcPr>
          <w:p>
            <w:pPr>
              <w:ind w:left="200"/>
              <w:spacing w:after="0"/>
              <w:rPr>
                <w:sz w:val="20"/>
                <w:szCs w:val="20"/>
                <w:color w:val="auto"/>
              </w:rPr>
            </w:pPr>
            <w:r>
              <w:rPr>
                <w:rFonts w:ascii="Arial" w:cs="Arial" w:eastAsia="Arial" w:hAnsi="Arial"/>
                <w:sz w:val="14"/>
                <w:szCs w:val="14"/>
                <w:color w:val="auto"/>
              </w:rPr>
              <w:t>Money market funds</w:t>
            </w:r>
          </w:p>
        </w:tc>
        <w:tc>
          <w:tcPr>
            <w:tcW w:w="360" w:type="dxa"/>
            <w:vAlign w:val="bottom"/>
          </w:tcPr>
          <w:p>
            <w:pPr>
              <w:jc w:val="right"/>
              <w:ind w:right="192"/>
              <w:spacing w:after="0"/>
              <w:rPr>
                <w:sz w:val="20"/>
                <w:szCs w:val="20"/>
                <w:color w:val="auto"/>
              </w:rPr>
            </w:pPr>
            <w:r>
              <w:rPr>
                <w:rFonts w:ascii="Arial" w:cs="Arial" w:eastAsia="Arial" w:hAnsi="Arial"/>
                <w:sz w:val="14"/>
                <w:szCs w:val="14"/>
                <w:color w:val="auto"/>
              </w:rPr>
              <w:t>$</w:t>
            </w:r>
          </w:p>
        </w:tc>
        <w:tc>
          <w:tcPr>
            <w:tcW w:w="700" w:type="dxa"/>
            <w:vAlign w:val="bottom"/>
          </w:tcPr>
          <w:p>
            <w:pPr>
              <w:jc w:val="right"/>
              <w:spacing w:after="0"/>
              <w:rPr>
                <w:sz w:val="20"/>
                <w:szCs w:val="20"/>
                <w:color w:val="auto"/>
              </w:rPr>
            </w:pPr>
            <w:r>
              <w:rPr>
                <w:rFonts w:ascii="Arial" w:cs="Arial" w:eastAsia="Arial" w:hAnsi="Arial"/>
                <w:sz w:val="14"/>
                <w:szCs w:val="14"/>
                <w:color w:val="auto"/>
              </w:rPr>
              <w:t>737</w:t>
            </w:r>
          </w:p>
        </w:tc>
        <w:tc>
          <w:tcPr>
            <w:tcW w:w="340" w:type="dxa"/>
            <w:vAlign w:val="bottom"/>
            <w:gridSpan w:val="2"/>
          </w:tcPr>
          <w:p>
            <w:pPr>
              <w:jc w:val="right"/>
              <w:ind w:right="76"/>
              <w:spacing w:after="0"/>
              <w:rPr>
                <w:sz w:val="20"/>
                <w:szCs w:val="20"/>
                <w:color w:val="auto"/>
              </w:rPr>
            </w:pPr>
            <w:r>
              <w:rPr>
                <w:rFonts w:ascii="Arial" w:cs="Arial" w:eastAsia="Arial" w:hAnsi="Arial"/>
                <w:sz w:val="14"/>
                <w:szCs w:val="14"/>
                <w:color w:val="auto"/>
              </w:rPr>
              <w:t>$</w:t>
            </w: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220" w:type="dxa"/>
            <w:vAlign w:val="bottom"/>
            <w:gridSpan w:val="2"/>
          </w:tcPr>
          <w:p>
            <w:pPr>
              <w:jc w:val="right"/>
              <w:ind w:right="40"/>
              <w:spacing w:after="0"/>
              <w:rPr>
                <w:sz w:val="20"/>
                <w:szCs w:val="20"/>
                <w:color w:val="auto"/>
              </w:rPr>
            </w:pPr>
            <w:r>
              <w:rPr>
                <w:rFonts w:ascii="Arial" w:cs="Arial" w:eastAsia="Arial" w:hAnsi="Arial"/>
                <w:sz w:val="14"/>
                <w:szCs w:val="14"/>
                <w:color w:val="auto"/>
              </w:rPr>
              <w:t>$</w:t>
            </w: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280" w:type="dxa"/>
            <w:vAlign w:val="bottom"/>
            <w:gridSpan w:val="2"/>
          </w:tcPr>
          <w:p>
            <w:pPr>
              <w:jc w:val="right"/>
              <w:ind w:right="100"/>
              <w:spacing w:after="0"/>
              <w:rPr>
                <w:sz w:val="20"/>
                <w:szCs w:val="20"/>
                <w:color w:val="auto"/>
              </w:rPr>
            </w:pPr>
            <w:r>
              <w:rPr>
                <w:rFonts w:ascii="Arial" w:cs="Arial" w:eastAsia="Arial" w:hAnsi="Arial"/>
                <w:sz w:val="14"/>
                <w:szCs w:val="14"/>
                <w:color w:val="auto"/>
              </w:rPr>
              <w:t>$</w:t>
            </w:r>
          </w:p>
        </w:tc>
        <w:tc>
          <w:tcPr>
            <w:tcW w:w="1040" w:type="dxa"/>
            <w:vAlign w:val="bottom"/>
          </w:tcPr>
          <w:p>
            <w:pPr>
              <w:jc w:val="right"/>
              <w:spacing w:after="0"/>
              <w:rPr>
                <w:sz w:val="20"/>
                <w:szCs w:val="20"/>
                <w:color w:val="auto"/>
              </w:rPr>
            </w:pPr>
            <w:r>
              <w:rPr>
                <w:rFonts w:ascii="Arial" w:cs="Arial" w:eastAsia="Arial" w:hAnsi="Arial"/>
                <w:sz w:val="14"/>
                <w:szCs w:val="14"/>
                <w:color w:val="auto"/>
              </w:rPr>
              <w:t>737</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200"/>
              <w:spacing w:after="0"/>
              <w:rPr>
                <w:sz w:val="20"/>
                <w:szCs w:val="20"/>
                <w:color w:val="auto"/>
              </w:rPr>
            </w:pPr>
            <w:r>
              <w:rPr>
                <w:rFonts w:ascii="Arial" w:cs="Arial" w:eastAsia="Arial" w:hAnsi="Arial"/>
                <w:sz w:val="14"/>
                <w:szCs w:val="14"/>
                <w:color w:val="auto"/>
              </w:rPr>
              <w:t>Commercial paper</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169</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169</w:t>
            </w:r>
          </w:p>
        </w:tc>
        <w:tc>
          <w:tcPr>
            <w:tcW w:w="0" w:type="dxa"/>
            <w:vAlign w:val="bottom"/>
          </w:tcPr>
          <w:p>
            <w:pPr>
              <w:spacing w:after="0"/>
              <w:rPr>
                <w:sz w:val="1"/>
                <w:szCs w:val="1"/>
                <w:color w:val="auto"/>
              </w:rPr>
            </w:pPr>
          </w:p>
        </w:tc>
      </w:tr>
      <w:tr>
        <w:trPr>
          <w:trHeight w:val="185"/>
        </w:trPr>
        <w:tc>
          <w:tcPr>
            <w:tcW w:w="5800" w:type="dxa"/>
            <w:vAlign w:val="bottom"/>
          </w:tcPr>
          <w:p>
            <w:pPr>
              <w:ind w:left="200"/>
              <w:spacing w:after="0"/>
              <w:rPr>
                <w:sz w:val="20"/>
                <w:szCs w:val="20"/>
                <w:color w:val="auto"/>
              </w:rPr>
            </w:pPr>
            <w:r>
              <w:rPr>
                <w:rFonts w:ascii="Arial" w:cs="Arial" w:eastAsia="Arial" w:hAnsi="Arial"/>
                <w:sz w:val="14"/>
                <w:szCs w:val="14"/>
                <w:color w:val="auto"/>
              </w:rPr>
              <w:t>Certificates of deposit</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35</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35</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200"/>
              <w:spacing w:after="0"/>
              <w:rPr>
                <w:sz w:val="20"/>
                <w:szCs w:val="20"/>
                <w:color w:val="auto"/>
              </w:rPr>
            </w:pPr>
            <w:r>
              <w:rPr>
                <w:rFonts w:ascii="Arial" w:cs="Arial" w:eastAsia="Arial" w:hAnsi="Arial"/>
                <w:sz w:val="14"/>
                <w:szCs w:val="14"/>
                <w:color w:val="auto"/>
              </w:rPr>
              <w:t>U.S government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13</w:t>
            </w:r>
          </w:p>
        </w:tc>
        <w:tc>
          <w:tcPr>
            <w:tcW w:w="0" w:type="dxa"/>
            <w:vAlign w:val="bottom"/>
          </w:tcPr>
          <w:p>
            <w:pPr>
              <w:spacing w:after="0"/>
              <w:rPr>
                <w:sz w:val="1"/>
                <w:szCs w:val="1"/>
                <w:color w:val="auto"/>
              </w:rPr>
            </w:pPr>
          </w:p>
        </w:tc>
      </w:tr>
      <w:tr>
        <w:trPr>
          <w:trHeight w:val="185"/>
        </w:trPr>
        <w:tc>
          <w:tcPr>
            <w:tcW w:w="5800" w:type="dxa"/>
            <w:vAlign w:val="bottom"/>
          </w:tcPr>
          <w:p>
            <w:pPr>
              <w:ind w:left="200"/>
              <w:spacing w:after="0"/>
              <w:rPr>
                <w:sz w:val="20"/>
                <w:szCs w:val="20"/>
                <w:color w:val="auto"/>
              </w:rPr>
            </w:pPr>
            <w:r>
              <w:rPr>
                <w:rFonts w:ascii="Arial" w:cs="Arial" w:eastAsia="Arial" w:hAnsi="Arial"/>
                <w:sz w:val="14"/>
                <w:szCs w:val="14"/>
                <w:color w:val="auto"/>
              </w:rPr>
              <w:t>Other (2)</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12</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12</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20"/>
              <w:spacing w:after="0"/>
              <w:rPr>
                <w:sz w:val="20"/>
                <w:szCs w:val="20"/>
                <w:color w:val="auto"/>
              </w:rPr>
            </w:pPr>
            <w:r>
              <w:rPr>
                <w:rFonts w:ascii="Arial" w:cs="Arial" w:eastAsia="Arial" w:hAnsi="Arial"/>
                <w:sz w:val="14"/>
                <w:szCs w:val="14"/>
                <w:color w:val="auto"/>
              </w:rPr>
              <w:t>Marketable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5800" w:type="dxa"/>
            <w:vAlign w:val="bottom"/>
          </w:tcPr>
          <w:p>
            <w:pPr>
              <w:ind w:left="200"/>
              <w:spacing w:after="0"/>
              <w:rPr>
                <w:sz w:val="20"/>
                <w:szCs w:val="20"/>
                <w:color w:val="auto"/>
              </w:rPr>
            </w:pPr>
            <w:r>
              <w:rPr>
                <w:rFonts w:ascii="Arial" w:cs="Arial" w:eastAsia="Arial" w:hAnsi="Arial"/>
                <w:sz w:val="14"/>
                <w:szCs w:val="14"/>
                <w:color w:val="auto"/>
              </w:rPr>
              <w:t>Short-term</w:t>
            </w:r>
          </w:p>
        </w:tc>
        <w:tc>
          <w:tcPr>
            <w:tcW w:w="36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400"/>
              <w:spacing w:after="0"/>
              <w:rPr>
                <w:sz w:val="20"/>
                <w:szCs w:val="20"/>
                <w:color w:val="auto"/>
              </w:rPr>
            </w:pPr>
            <w:r>
              <w:rPr>
                <w:rFonts w:ascii="Arial" w:cs="Arial" w:eastAsia="Arial" w:hAnsi="Arial"/>
                <w:sz w:val="14"/>
                <w:szCs w:val="14"/>
                <w:color w:val="auto"/>
              </w:rPr>
              <w:t>Corporate debt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44</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44</w:t>
            </w:r>
          </w:p>
        </w:tc>
        <w:tc>
          <w:tcPr>
            <w:tcW w:w="0" w:type="dxa"/>
            <w:vAlign w:val="bottom"/>
          </w:tcPr>
          <w:p>
            <w:pPr>
              <w:spacing w:after="0"/>
              <w:rPr>
                <w:sz w:val="1"/>
                <w:szCs w:val="1"/>
                <w:color w:val="auto"/>
              </w:rPr>
            </w:pPr>
          </w:p>
        </w:tc>
      </w:tr>
      <w:tr>
        <w:trPr>
          <w:trHeight w:val="185"/>
        </w:trPr>
        <w:tc>
          <w:tcPr>
            <w:tcW w:w="5800" w:type="dxa"/>
            <w:vAlign w:val="bottom"/>
          </w:tcPr>
          <w:p>
            <w:pPr>
              <w:ind w:left="400"/>
              <w:spacing w:after="0"/>
              <w:rPr>
                <w:sz w:val="20"/>
                <w:szCs w:val="20"/>
                <w:color w:val="auto"/>
              </w:rPr>
            </w:pPr>
            <w:r>
              <w:rPr>
                <w:rFonts w:ascii="Arial" w:cs="Arial" w:eastAsia="Arial" w:hAnsi="Arial"/>
                <w:sz w:val="14"/>
                <w:szCs w:val="14"/>
                <w:color w:val="auto"/>
              </w:rPr>
              <w:t>Commercial paper</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42</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42</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400"/>
              <w:spacing w:after="0"/>
              <w:rPr>
                <w:sz w:val="20"/>
                <w:szCs w:val="20"/>
                <w:color w:val="auto"/>
              </w:rPr>
            </w:pPr>
            <w:r>
              <w:rPr>
                <w:rFonts w:ascii="Arial" w:cs="Arial" w:eastAsia="Arial" w:hAnsi="Arial"/>
                <w:sz w:val="14"/>
                <w:szCs w:val="14"/>
                <w:color w:val="auto"/>
              </w:rPr>
              <w:t>Asset-backed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19</w:t>
            </w:r>
          </w:p>
        </w:tc>
        <w:tc>
          <w:tcPr>
            <w:tcW w:w="0" w:type="dxa"/>
            <w:vAlign w:val="bottom"/>
          </w:tcPr>
          <w:p>
            <w:pPr>
              <w:spacing w:after="0"/>
              <w:rPr>
                <w:sz w:val="1"/>
                <w:szCs w:val="1"/>
                <w:color w:val="auto"/>
              </w:rPr>
            </w:pPr>
          </w:p>
        </w:tc>
      </w:tr>
      <w:tr>
        <w:trPr>
          <w:trHeight w:val="185"/>
        </w:trPr>
        <w:tc>
          <w:tcPr>
            <w:tcW w:w="5800" w:type="dxa"/>
            <w:vAlign w:val="bottom"/>
          </w:tcPr>
          <w:p>
            <w:pPr>
              <w:ind w:left="400"/>
              <w:spacing w:after="0"/>
              <w:rPr>
                <w:sz w:val="20"/>
                <w:szCs w:val="20"/>
                <w:color w:val="auto"/>
              </w:rPr>
            </w:pPr>
            <w:r>
              <w:rPr>
                <w:rFonts w:ascii="Arial" w:cs="Arial" w:eastAsia="Arial" w:hAnsi="Arial"/>
                <w:sz w:val="14"/>
                <w:szCs w:val="14"/>
                <w:color w:val="auto"/>
              </w:rPr>
              <w:t>U.S. government securities</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17</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17</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400"/>
              <w:spacing w:after="0"/>
              <w:rPr>
                <w:sz w:val="20"/>
                <w:szCs w:val="20"/>
                <w:color w:val="auto"/>
              </w:rPr>
            </w:pPr>
            <w:r>
              <w:rPr>
                <w:rFonts w:ascii="Arial" w:cs="Arial" w:eastAsia="Arial" w:hAnsi="Arial"/>
                <w:sz w:val="14"/>
                <w:szCs w:val="14"/>
                <w:color w:val="auto"/>
              </w:rPr>
              <w:t>Other (3)</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w:t>
            </w:r>
          </w:p>
        </w:tc>
        <w:tc>
          <w:tcPr>
            <w:tcW w:w="0" w:type="dxa"/>
            <w:vAlign w:val="bottom"/>
          </w:tcPr>
          <w:p>
            <w:pPr>
              <w:spacing w:after="0"/>
              <w:rPr>
                <w:sz w:val="1"/>
                <w:szCs w:val="1"/>
                <w:color w:val="auto"/>
              </w:rPr>
            </w:pPr>
          </w:p>
        </w:tc>
      </w:tr>
      <w:tr>
        <w:trPr>
          <w:trHeight w:val="185"/>
        </w:trPr>
        <w:tc>
          <w:tcPr>
            <w:tcW w:w="5800" w:type="dxa"/>
            <w:vAlign w:val="bottom"/>
          </w:tcPr>
          <w:p>
            <w:pPr>
              <w:ind w:left="200"/>
              <w:spacing w:after="0"/>
              <w:rPr>
                <w:sz w:val="20"/>
                <w:szCs w:val="20"/>
                <w:color w:val="auto"/>
              </w:rPr>
            </w:pPr>
            <w:r>
              <w:rPr>
                <w:rFonts w:ascii="Arial" w:cs="Arial" w:eastAsia="Arial" w:hAnsi="Arial"/>
                <w:sz w:val="14"/>
                <w:szCs w:val="14"/>
                <w:color w:val="auto"/>
              </w:rPr>
              <w:t>Long-term</w:t>
            </w:r>
          </w:p>
        </w:tc>
        <w:tc>
          <w:tcPr>
            <w:tcW w:w="36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400"/>
              <w:spacing w:after="0"/>
              <w:rPr>
                <w:sz w:val="20"/>
                <w:szCs w:val="20"/>
                <w:color w:val="auto"/>
              </w:rPr>
            </w:pPr>
            <w:r>
              <w:rPr>
                <w:rFonts w:ascii="Arial" w:cs="Arial" w:eastAsia="Arial" w:hAnsi="Arial"/>
                <w:sz w:val="14"/>
                <w:szCs w:val="14"/>
                <w:color w:val="auto"/>
              </w:rPr>
              <w:t>Corporate debt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45</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45</w:t>
            </w:r>
          </w:p>
        </w:tc>
        <w:tc>
          <w:tcPr>
            <w:tcW w:w="0" w:type="dxa"/>
            <w:vAlign w:val="bottom"/>
          </w:tcPr>
          <w:p>
            <w:pPr>
              <w:spacing w:after="0"/>
              <w:rPr>
                <w:sz w:val="1"/>
                <w:szCs w:val="1"/>
                <w:color w:val="auto"/>
              </w:rPr>
            </w:pPr>
          </w:p>
        </w:tc>
      </w:tr>
      <w:tr>
        <w:trPr>
          <w:trHeight w:val="185"/>
        </w:trPr>
        <w:tc>
          <w:tcPr>
            <w:tcW w:w="5800" w:type="dxa"/>
            <w:vAlign w:val="bottom"/>
          </w:tcPr>
          <w:p>
            <w:pPr>
              <w:ind w:left="400"/>
              <w:spacing w:after="0"/>
              <w:rPr>
                <w:sz w:val="20"/>
                <w:szCs w:val="20"/>
                <w:color w:val="auto"/>
              </w:rPr>
            </w:pPr>
            <w:r>
              <w:rPr>
                <w:rFonts w:ascii="Arial" w:cs="Arial" w:eastAsia="Arial" w:hAnsi="Arial"/>
                <w:sz w:val="14"/>
                <w:szCs w:val="14"/>
                <w:color w:val="auto"/>
              </w:rPr>
              <w:t>U.S. government securities</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35</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35</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400"/>
              <w:spacing w:after="0"/>
              <w:rPr>
                <w:sz w:val="20"/>
                <w:szCs w:val="20"/>
                <w:color w:val="auto"/>
              </w:rPr>
            </w:pPr>
            <w:r>
              <w:rPr>
                <w:rFonts w:ascii="Arial" w:cs="Arial" w:eastAsia="Arial" w:hAnsi="Arial"/>
                <w:sz w:val="14"/>
                <w:szCs w:val="14"/>
                <w:color w:val="auto"/>
              </w:rPr>
              <w:t>Asset backed securities</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13</w:t>
            </w:r>
          </w:p>
        </w:tc>
        <w:tc>
          <w:tcPr>
            <w:tcW w:w="0" w:type="dxa"/>
            <w:vAlign w:val="bottom"/>
          </w:tcPr>
          <w:p>
            <w:pPr>
              <w:spacing w:after="0"/>
              <w:rPr>
                <w:sz w:val="1"/>
                <w:szCs w:val="1"/>
                <w:color w:val="auto"/>
              </w:rPr>
            </w:pPr>
          </w:p>
        </w:tc>
      </w:tr>
      <w:tr>
        <w:trPr>
          <w:trHeight w:val="185"/>
        </w:trPr>
        <w:tc>
          <w:tcPr>
            <w:tcW w:w="5800" w:type="dxa"/>
            <w:vAlign w:val="bottom"/>
          </w:tcPr>
          <w:p>
            <w:pPr>
              <w:ind w:left="400"/>
              <w:spacing w:after="0"/>
              <w:rPr>
                <w:sz w:val="20"/>
                <w:szCs w:val="20"/>
                <w:color w:val="auto"/>
              </w:rPr>
            </w:pPr>
            <w:r>
              <w:rPr>
                <w:rFonts w:ascii="Arial" w:cs="Arial" w:eastAsia="Arial" w:hAnsi="Arial"/>
                <w:sz w:val="14"/>
                <w:szCs w:val="14"/>
                <w:color w:val="auto"/>
              </w:rPr>
              <w:t>Other (4)</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9</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9</w:t>
            </w:r>
          </w:p>
        </w:tc>
        <w:tc>
          <w:tcPr>
            <w:tcW w:w="0" w:type="dxa"/>
            <w:vAlign w:val="bottom"/>
          </w:tcPr>
          <w:p>
            <w:pPr>
              <w:spacing w:after="0"/>
              <w:rPr>
                <w:sz w:val="1"/>
                <w:szCs w:val="1"/>
                <w:color w:val="auto"/>
              </w:rPr>
            </w:pPr>
          </w:p>
        </w:tc>
      </w:tr>
      <w:tr>
        <w:trPr>
          <w:trHeight w:val="190"/>
        </w:trPr>
        <w:tc>
          <w:tcPr>
            <w:tcW w:w="5800" w:type="dxa"/>
            <w:vAlign w:val="bottom"/>
            <w:shd w:val="clear" w:color="auto" w:fill="CCEEFF"/>
          </w:tcPr>
          <w:p>
            <w:pPr>
              <w:ind w:left="20"/>
              <w:spacing w:after="0"/>
              <w:rPr>
                <w:sz w:val="20"/>
                <w:szCs w:val="20"/>
                <w:color w:val="auto"/>
              </w:rPr>
            </w:pPr>
            <w:r>
              <w:rPr>
                <w:rFonts w:ascii="Arial" w:cs="Arial" w:eastAsia="Arial" w:hAnsi="Arial"/>
                <w:sz w:val="14"/>
                <w:szCs w:val="14"/>
                <w:color w:val="auto"/>
              </w:rPr>
              <w:t>Mutual funds (5) (6)</w:t>
            </w:r>
          </w:p>
        </w:tc>
        <w:tc>
          <w:tcPr>
            <w:tcW w:w="3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81</w:t>
            </w:r>
          </w:p>
        </w:tc>
        <w:tc>
          <w:tcPr>
            <w:tcW w:w="10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94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6</w:t>
            </w: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900" w:type="dxa"/>
            <w:vAlign w:val="bottom"/>
            <w:shd w:val="clear" w:color="auto" w:fill="CCEEFF"/>
          </w:tcPr>
          <w:p>
            <w:pPr>
              <w:ind w:left="660"/>
              <w:spacing w:after="0"/>
              <w:rPr>
                <w:sz w:val="20"/>
                <w:szCs w:val="20"/>
                <w:color w:val="auto"/>
              </w:rPr>
            </w:pPr>
            <w:r>
              <w:rPr>
                <w:rFonts w:ascii="Arial" w:cs="Arial" w:eastAsia="Arial" w:hAnsi="Arial"/>
                <w:sz w:val="14"/>
                <w:szCs w:val="14"/>
                <w:color w:val="auto"/>
              </w:rPr>
              <w:t>(1)</w:t>
            </w:r>
          </w:p>
        </w:tc>
        <w:tc>
          <w:tcPr>
            <w:tcW w:w="10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86</w:t>
            </w:r>
          </w:p>
        </w:tc>
        <w:tc>
          <w:tcPr>
            <w:tcW w:w="0" w:type="dxa"/>
            <w:vAlign w:val="bottom"/>
          </w:tcPr>
          <w:p>
            <w:pPr>
              <w:spacing w:after="0"/>
              <w:rPr>
                <w:sz w:val="1"/>
                <w:szCs w:val="1"/>
                <w:color w:val="auto"/>
              </w:rPr>
            </w:pPr>
          </w:p>
        </w:tc>
      </w:tr>
      <w:tr>
        <w:trPr>
          <w:trHeight w:val="185"/>
        </w:trPr>
        <w:tc>
          <w:tcPr>
            <w:tcW w:w="5800" w:type="dxa"/>
            <w:vAlign w:val="bottom"/>
          </w:tcPr>
          <w:p>
            <w:pPr>
              <w:ind w:left="20"/>
              <w:spacing w:after="0"/>
              <w:rPr>
                <w:sz w:val="20"/>
                <w:szCs w:val="20"/>
                <w:color w:val="auto"/>
              </w:rPr>
            </w:pPr>
            <w:r>
              <w:rPr>
                <w:rFonts w:ascii="Arial" w:cs="Arial" w:eastAsia="Arial" w:hAnsi="Arial"/>
                <w:sz w:val="14"/>
                <w:szCs w:val="14"/>
                <w:color w:val="auto"/>
              </w:rPr>
              <w:t>Convertible debt securities (6)</w:t>
            </w:r>
          </w:p>
        </w:tc>
        <w:tc>
          <w:tcPr>
            <w:tcW w:w="3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3</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1</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ind w:left="660"/>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40" w:type="dxa"/>
            <w:vAlign w:val="bottom"/>
          </w:tcPr>
          <w:p>
            <w:pPr>
              <w:jc w:val="right"/>
              <w:ind w:right="10"/>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187"/>
        </w:trPr>
        <w:tc>
          <w:tcPr>
            <w:tcW w:w="5800" w:type="dxa"/>
            <w:vAlign w:val="bottom"/>
            <w:shd w:val="clear" w:color="auto" w:fill="CCEEFF"/>
          </w:tcPr>
          <w:p>
            <w:pPr>
              <w:ind w:left="20"/>
              <w:spacing w:after="0"/>
              <w:rPr>
                <w:sz w:val="20"/>
                <w:szCs w:val="20"/>
                <w:color w:val="auto"/>
              </w:rPr>
            </w:pPr>
            <w:r>
              <w:rPr>
                <w:rFonts w:ascii="Arial" w:cs="Arial" w:eastAsia="Arial" w:hAnsi="Arial"/>
                <w:sz w:val="14"/>
                <w:szCs w:val="14"/>
                <w:color w:val="auto"/>
              </w:rPr>
              <w:t>Strategic investments derivative asset (6)</w:t>
            </w:r>
          </w:p>
        </w:tc>
        <w:tc>
          <w:tcPr>
            <w:tcW w:w="360" w:type="dxa"/>
            <w:vAlign w:val="bottom"/>
            <w:tcBorders>
              <w:bottom w:val="single" w:sz="8" w:color="auto"/>
            </w:tcBorders>
            <w:shd w:val="clear" w:color="auto" w:fill="CCEEFF"/>
          </w:tcPr>
          <w:p>
            <w:pPr>
              <w:spacing w:after="0"/>
              <w:rPr>
                <w:sz w:val="16"/>
                <w:szCs w:val="16"/>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100" w:type="dxa"/>
            <w:vAlign w:val="bottom"/>
            <w:shd w:val="clear" w:color="auto" w:fill="CCEEFF"/>
          </w:tcPr>
          <w:p>
            <w:pPr>
              <w:spacing w:after="0"/>
              <w:rPr>
                <w:sz w:val="16"/>
                <w:szCs w:val="16"/>
                <w:color w:val="auto"/>
              </w:rPr>
            </w:pPr>
          </w:p>
        </w:tc>
        <w:tc>
          <w:tcPr>
            <w:tcW w:w="240" w:type="dxa"/>
            <w:vAlign w:val="bottom"/>
            <w:tcBorders>
              <w:bottom w:val="single" w:sz="8" w:color="auto"/>
            </w:tcBorders>
            <w:shd w:val="clear" w:color="auto" w:fill="CCEEFF"/>
          </w:tcPr>
          <w:p>
            <w:pPr>
              <w:spacing w:after="0"/>
              <w:rPr>
                <w:sz w:val="16"/>
                <w:szCs w:val="16"/>
                <w:color w:val="auto"/>
              </w:rPr>
            </w:pPr>
          </w:p>
        </w:tc>
        <w:tc>
          <w:tcPr>
            <w:tcW w:w="940" w:type="dxa"/>
            <w:vAlign w:val="bottom"/>
            <w:tcBorders>
              <w:bottom w:val="single" w:sz="8" w:color="auto"/>
            </w:tcBorders>
            <w:shd w:val="clear" w:color="auto" w:fill="CCEEFF"/>
          </w:tcPr>
          <w:p>
            <w:pPr>
              <w:jc w:val="right"/>
              <w:ind w:right="30"/>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40" w:type="dxa"/>
            <w:vAlign w:val="bottom"/>
            <w:tcBorders>
              <w:bottom w:val="single" w:sz="8" w:color="auto"/>
            </w:tcBorders>
            <w:shd w:val="clear" w:color="auto" w:fill="CCEEFF"/>
          </w:tcPr>
          <w:p>
            <w:pPr>
              <w:spacing w:after="0"/>
              <w:rPr>
                <w:sz w:val="16"/>
                <w:szCs w:val="16"/>
                <w:color w:val="auto"/>
              </w:rPr>
            </w:pPr>
          </w:p>
        </w:tc>
        <w:tc>
          <w:tcPr>
            <w:tcW w:w="900" w:type="dxa"/>
            <w:vAlign w:val="bottom"/>
            <w:tcBorders>
              <w:bottom w:val="single" w:sz="8" w:color="auto"/>
            </w:tcBorders>
            <w:shd w:val="clear" w:color="auto" w:fill="CCEEFF"/>
          </w:tcPr>
          <w:p>
            <w:pPr>
              <w:ind w:left="660"/>
              <w:spacing w:after="0"/>
              <w:rPr>
                <w:sz w:val="20"/>
                <w:szCs w:val="20"/>
                <w:color w:val="auto"/>
              </w:rPr>
            </w:pPr>
            <w:r>
              <w:rPr>
                <w:rFonts w:ascii="Arial" w:cs="Arial" w:eastAsia="Arial" w:hAnsi="Arial"/>
                <w:sz w:val="14"/>
                <w:szCs w:val="14"/>
                <w:color w:val="auto"/>
              </w:rPr>
              <w:t>(2)</w:t>
            </w:r>
          </w:p>
        </w:tc>
        <w:tc>
          <w:tcPr>
            <w:tcW w:w="100" w:type="dxa"/>
            <w:vAlign w:val="bottom"/>
            <w:shd w:val="clear" w:color="auto" w:fill="CCEEFF"/>
          </w:tcPr>
          <w:p>
            <w:pPr>
              <w:spacing w:after="0"/>
              <w:rPr>
                <w:sz w:val="16"/>
                <w:szCs w:val="16"/>
                <w:color w:val="auto"/>
              </w:rPr>
            </w:pPr>
          </w:p>
        </w:tc>
        <w:tc>
          <w:tcPr>
            <w:tcW w:w="180" w:type="dxa"/>
            <w:vAlign w:val="bottom"/>
            <w:tcBorders>
              <w:bottom w:val="single" w:sz="8" w:color="auto"/>
            </w:tcBorders>
            <w:shd w:val="clear" w:color="auto" w:fill="CCEEFF"/>
          </w:tcPr>
          <w:p>
            <w:pPr>
              <w:spacing w:after="0"/>
              <w:rPr>
                <w:sz w:val="16"/>
                <w:szCs w:val="16"/>
                <w:color w:val="auto"/>
              </w:rPr>
            </w:pPr>
          </w:p>
        </w:tc>
        <w:tc>
          <w:tcPr>
            <w:tcW w:w="10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82"/>
        </w:trPr>
        <w:tc>
          <w:tcPr>
            <w:tcW w:w="5800" w:type="dxa"/>
            <w:vAlign w:val="bottom"/>
          </w:tcPr>
          <w:p>
            <w:pPr>
              <w:ind w:left="200"/>
              <w:spacing w:after="0"/>
              <w:rPr>
                <w:sz w:val="20"/>
                <w:szCs w:val="20"/>
                <w:color w:val="auto"/>
              </w:rPr>
            </w:pPr>
            <w:r>
              <w:rPr>
                <w:rFonts w:ascii="Arial" w:cs="Arial" w:eastAsia="Arial" w:hAnsi="Arial"/>
                <w:sz w:val="14"/>
                <w:szCs w:val="14"/>
                <w:color w:val="auto"/>
              </w:rPr>
              <w:t>Total</w:t>
            </w:r>
          </w:p>
        </w:tc>
        <w:tc>
          <w:tcPr>
            <w:tcW w:w="360" w:type="dxa"/>
            <w:vAlign w:val="bottom"/>
          </w:tcPr>
          <w:p>
            <w:pPr>
              <w:jc w:val="right"/>
              <w:ind w:right="192"/>
              <w:spacing w:after="0"/>
              <w:rPr>
                <w:sz w:val="20"/>
                <w:szCs w:val="20"/>
                <w:color w:val="auto"/>
              </w:rPr>
            </w:pPr>
            <w:r>
              <w:rPr>
                <w:rFonts w:ascii="Arial" w:cs="Arial" w:eastAsia="Arial" w:hAnsi="Arial"/>
                <w:sz w:val="14"/>
                <w:szCs w:val="14"/>
                <w:color w:val="auto"/>
              </w:rPr>
              <w:t>$</w:t>
            </w:r>
          </w:p>
        </w:tc>
        <w:tc>
          <w:tcPr>
            <w:tcW w:w="700" w:type="dxa"/>
            <w:vAlign w:val="bottom"/>
          </w:tcPr>
          <w:p>
            <w:pPr>
              <w:jc w:val="right"/>
              <w:spacing w:after="0"/>
              <w:rPr>
                <w:sz w:val="20"/>
                <w:szCs w:val="20"/>
                <w:color w:val="auto"/>
              </w:rPr>
            </w:pPr>
            <w:r>
              <w:rPr>
                <w:rFonts w:ascii="Arial" w:cs="Arial" w:eastAsia="Arial" w:hAnsi="Arial"/>
                <w:sz w:val="14"/>
                <w:szCs w:val="14"/>
                <w:color w:val="auto"/>
              </w:rPr>
              <w:t>1,279</w:t>
            </w:r>
          </w:p>
        </w:tc>
        <w:tc>
          <w:tcPr>
            <w:tcW w:w="340" w:type="dxa"/>
            <w:vAlign w:val="bottom"/>
            <w:gridSpan w:val="2"/>
          </w:tcPr>
          <w:p>
            <w:pPr>
              <w:jc w:val="right"/>
              <w:ind w:right="76"/>
              <w:spacing w:after="0"/>
              <w:rPr>
                <w:sz w:val="20"/>
                <w:szCs w:val="20"/>
                <w:color w:val="auto"/>
              </w:rPr>
            </w:pPr>
            <w:r>
              <w:rPr>
                <w:rFonts w:ascii="Arial" w:cs="Arial" w:eastAsia="Arial" w:hAnsi="Arial"/>
                <w:sz w:val="14"/>
                <w:szCs w:val="14"/>
                <w:color w:val="auto"/>
              </w:rPr>
              <w:t>$</w:t>
            </w:r>
          </w:p>
        </w:tc>
        <w:tc>
          <w:tcPr>
            <w:tcW w:w="940" w:type="dxa"/>
            <w:vAlign w:val="bottom"/>
          </w:tcPr>
          <w:p>
            <w:pPr>
              <w:jc w:val="right"/>
              <w:ind w:right="30"/>
              <w:spacing w:after="0"/>
              <w:rPr>
                <w:sz w:val="20"/>
                <w:szCs w:val="20"/>
                <w:color w:val="auto"/>
              </w:rPr>
            </w:pPr>
            <w:r>
              <w:rPr>
                <w:rFonts w:ascii="Arial" w:cs="Arial" w:eastAsia="Arial" w:hAnsi="Arial"/>
                <w:sz w:val="14"/>
                <w:szCs w:val="14"/>
                <w:color w:val="auto"/>
              </w:rPr>
              <w:t>7</w:t>
            </w:r>
          </w:p>
        </w:tc>
        <w:tc>
          <w:tcPr>
            <w:tcW w:w="220" w:type="dxa"/>
            <w:vAlign w:val="bottom"/>
            <w:gridSpan w:val="2"/>
          </w:tcPr>
          <w:p>
            <w:pPr>
              <w:jc w:val="right"/>
              <w:ind w:right="40"/>
              <w:spacing w:after="0"/>
              <w:rPr>
                <w:sz w:val="20"/>
                <w:szCs w:val="20"/>
                <w:color w:val="auto"/>
              </w:rPr>
            </w:pPr>
            <w:r>
              <w:rPr>
                <w:rFonts w:ascii="Arial" w:cs="Arial" w:eastAsia="Arial" w:hAnsi="Arial"/>
                <w:sz w:val="14"/>
                <w:szCs w:val="14"/>
                <w:color w:val="auto"/>
              </w:rPr>
              <w:t>$</w:t>
            </w:r>
          </w:p>
        </w:tc>
        <w:tc>
          <w:tcPr>
            <w:tcW w:w="900" w:type="dxa"/>
            <w:vAlign w:val="bottom"/>
          </w:tcPr>
          <w:p>
            <w:pPr>
              <w:ind w:left="660"/>
              <w:spacing w:after="0"/>
              <w:rPr>
                <w:sz w:val="20"/>
                <w:szCs w:val="20"/>
                <w:color w:val="auto"/>
              </w:rPr>
            </w:pPr>
            <w:r>
              <w:rPr>
                <w:rFonts w:ascii="Arial" w:cs="Arial" w:eastAsia="Arial" w:hAnsi="Arial"/>
                <w:sz w:val="14"/>
                <w:szCs w:val="14"/>
                <w:color w:val="auto"/>
              </w:rPr>
              <w:t>(5)</w:t>
            </w:r>
          </w:p>
        </w:tc>
        <w:tc>
          <w:tcPr>
            <w:tcW w:w="280" w:type="dxa"/>
            <w:vAlign w:val="bottom"/>
            <w:gridSpan w:val="2"/>
          </w:tcPr>
          <w:p>
            <w:pPr>
              <w:jc w:val="right"/>
              <w:ind w:right="100"/>
              <w:spacing w:after="0"/>
              <w:rPr>
                <w:sz w:val="20"/>
                <w:szCs w:val="20"/>
                <w:color w:val="auto"/>
              </w:rPr>
            </w:pPr>
            <w:r>
              <w:rPr>
                <w:rFonts w:ascii="Arial" w:cs="Arial" w:eastAsia="Arial" w:hAnsi="Arial"/>
                <w:sz w:val="14"/>
                <w:szCs w:val="14"/>
                <w:color w:val="auto"/>
              </w:rPr>
              <w:t>$</w:t>
            </w:r>
          </w:p>
        </w:tc>
        <w:tc>
          <w:tcPr>
            <w:tcW w:w="1040" w:type="dxa"/>
            <w:vAlign w:val="bottom"/>
          </w:tcPr>
          <w:p>
            <w:pPr>
              <w:jc w:val="right"/>
              <w:spacing w:after="0"/>
              <w:rPr>
                <w:sz w:val="20"/>
                <w:szCs w:val="20"/>
                <w:color w:val="auto"/>
              </w:rPr>
            </w:pPr>
            <w:r>
              <w:rPr>
                <w:rFonts w:ascii="Arial" w:cs="Arial" w:eastAsia="Arial" w:hAnsi="Arial"/>
                <w:sz w:val="14"/>
                <w:szCs w:val="14"/>
                <w:color w:val="auto"/>
              </w:rPr>
              <w:t>1,281</w:t>
            </w:r>
          </w:p>
        </w:tc>
        <w:tc>
          <w:tcPr>
            <w:tcW w:w="0" w:type="dxa"/>
            <w:vAlign w:val="bottom"/>
          </w:tcPr>
          <w:p>
            <w:pPr>
              <w:spacing w:after="0"/>
              <w:rPr>
                <w:sz w:val="1"/>
                <w:szCs w:val="1"/>
                <w:color w:val="auto"/>
              </w:rPr>
            </w:pPr>
          </w:p>
        </w:tc>
      </w:tr>
      <w:tr>
        <w:trPr>
          <w:trHeight w:val="20"/>
        </w:trPr>
        <w:tc>
          <w:tcPr>
            <w:tcW w:w="5800" w:type="dxa"/>
            <w:vAlign w:val="bottom"/>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63"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left="360" w:hanging="356"/>
        <w:spacing w:after="0"/>
        <w:tabs>
          <w:tab w:leader="none" w:pos="360" w:val="left"/>
        </w:tabs>
        <w:numPr>
          <w:ilvl w:val="0"/>
          <w:numId w:val="5"/>
        </w:numPr>
        <w:rPr>
          <w:rFonts w:ascii="Arial" w:cs="Arial" w:eastAsia="Arial" w:hAnsi="Arial"/>
          <w:sz w:val="14"/>
          <w:szCs w:val="14"/>
          <w:color w:val="auto"/>
        </w:rPr>
      </w:pPr>
      <w:r>
        <w:rPr>
          <w:rFonts w:ascii="Arial" w:cs="Arial" w:eastAsia="Arial" w:hAnsi="Arial"/>
          <w:sz w:val="14"/>
          <w:szCs w:val="14"/>
          <w:color w:val="auto"/>
        </w:rPr>
        <w:t>Included in “Cash and cash equivalents” in the accompanying Condensed Consolidated Balance Sheets. These investments are classified as debt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5"/>
        </w:numPr>
        <w:rPr>
          <w:rFonts w:ascii="Arial" w:cs="Arial" w:eastAsia="Arial" w:hAnsi="Arial"/>
          <w:sz w:val="14"/>
          <w:szCs w:val="14"/>
          <w:color w:val="auto"/>
        </w:rPr>
      </w:pPr>
      <w:r>
        <w:rPr>
          <w:rFonts w:ascii="Arial" w:cs="Arial" w:eastAsia="Arial" w:hAnsi="Arial"/>
          <w:sz w:val="14"/>
          <w:szCs w:val="14"/>
          <w:color w:val="auto"/>
        </w:rPr>
        <w:t>Consists of custody cash deposits, agency discount notes, municipal bonds, corporate debt securities, asset-backed securities, and mortgage-backed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5"/>
        </w:numPr>
        <w:rPr>
          <w:rFonts w:ascii="Arial" w:cs="Arial" w:eastAsia="Arial" w:hAnsi="Arial"/>
          <w:sz w:val="14"/>
          <w:szCs w:val="14"/>
          <w:color w:val="auto"/>
        </w:rPr>
      </w:pPr>
      <w:r>
        <w:rPr>
          <w:rFonts w:ascii="Arial" w:cs="Arial" w:eastAsia="Arial" w:hAnsi="Arial"/>
          <w:sz w:val="14"/>
          <w:szCs w:val="14"/>
          <w:color w:val="auto"/>
        </w:rPr>
        <w:t>Consists of mortgage-backed securities, agency mortgage-backed securities, common stock, and agency collateralized mortgage obligations.</w:t>
      </w:r>
    </w:p>
    <w:p>
      <w:pPr>
        <w:spacing w:after="0" w:line="3" w:lineRule="exact"/>
        <w:rPr>
          <w:rFonts w:ascii="Arial" w:cs="Arial" w:eastAsia="Arial" w:hAnsi="Arial"/>
          <w:sz w:val="14"/>
          <w:szCs w:val="14"/>
          <w:color w:val="auto"/>
        </w:rPr>
      </w:pPr>
    </w:p>
    <w:p>
      <w:pPr>
        <w:ind w:left="360" w:right="600" w:hanging="356"/>
        <w:spacing w:after="0" w:line="244" w:lineRule="auto"/>
        <w:tabs>
          <w:tab w:leader="none" w:pos="372" w:val="left"/>
        </w:tabs>
        <w:numPr>
          <w:ilvl w:val="0"/>
          <w:numId w:val="5"/>
        </w:numPr>
        <w:rPr>
          <w:rFonts w:ascii="Arial" w:cs="Arial" w:eastAsia="Arial" w:hAnsi="Arial"/>
          <w:sz w:val="14"/>
          <w:szCs w:val="14"/>
          <w:color w:val="auto"/>
        </w:rPr>
      </w:pPr>
      <w:r>
        <w:rPr>
          <w:rFonts w:ascii="Arial" w:cs="Arial" w:eastAsia="Arial" w:hAnsi="Arial"/>
          <w:sz w:val="14"/>
          <w:szCs w:val="14"/>
          <w:color w:val="auto"/>
        </w:rPr>
        <w:t>Consists of agency mortgage-backed securities, agency bonds, agency collateralized mortgage obligations, mortgage-backed securities, and collateralized mortgage obligations.</w:t>
      </w:r>
    </w:p>
    <w:p>
      <w:pPr>
        <w:ind w:left="360" w:hanging="356"/>
        <w:spacing w:after="0"/>
        <w:tabs>
          <w:tab w:leader="none" w:pos="360" w:val="left"/>
        </w:tabs>
        <w:numPr>
          <w:ilvl w:val="0"/>
          <w:numId w:val="5"/>
        </w:numPr>
        <w:rPr>
          <w:rFonts w:ascii="Arial" w:cs="Arial" w:eastAsia="Arial" w:hAnsi="Arial"/>
          <w:sz w:val="14"/>
          <w:szCs w:val="14"/>
          <w:color w:val="auto"/>
        </w:rPr>
      </w:pPr>
      <w:r>
        <w:rPr>
          <w:rFonts w:ascii="Arial" w:cs="Arial" w:eastAsia="Arial" w:hAnsi="Arial"/>
          <w:sz w:val="14"/>
          <w:szCs w:val="14"/>
          <w:color w:val="auto"/>
        </w:rPr>
        <w:t>See Note 11, “Deferred Compensation” for more information.</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5"/>
        </w:numPr>
        <w:rPr>
          <w:rFonts w:ascii="Arial" w:cs="Arial" w:eastAsia="Arial" w:hAnsi="Arial"/>
          <w:sz w:val="14"/>
          <w:szCs w:val="14"/>
          <w:color w:val="auto"/>
        </w:rPr>
      </w:pPr>
      <w:r>
        <w:rPr>
          <w:rFonts w:ascii="Arial" w:cs="Arial" w:eastAsia="Arial" w:hAnsi="Arial"/>
          <w:sz w:val="14"/>
          <w:szCs w:val="14"/>
          <w:color w:val="auto"/>
        </w:rPr>
        <w:t>Included in “Prepaid expenses and other current assets,” or “Long-term other assets,” in the accompanying Condensed Consolidated Balance Sheets.</w:t>
      </w:r>
    </w:p>
    <w:p>
      <w:pPr>
        <w:spacing w:after="0" w:line="216" w:lineRule="exact"/>
        <w:rPr>
          <w:rFonts w:ascii="Arial" w:cs="Arial" w:eastAsia="Arial" w:hAnsi="Arial"/>
          <w:sz w:val="14"/>
          <w:szCs w:val="14"/>
          <w:color w:val="auto"/>
        </w:rPr>
      </w:pPr>
    </w:p>
    <w:p>
      <w:pPr>
        <w:ind w:left="360"/>
        <w:spacing w:after="0"/>
        <w:rPr>
          <w:rFonts w:ascii="Arial" w:cs="Arial" w:eastAsia="Arial" w:hAnsi="Arial"/>
          <w:sz w:val="14"/>
          <w:szCs w:val="14"/>
          <w:color w:val="auto"/>
        </w:rPr>
      </w:pPr>
      <w:r>
        <w:rPr>
          <w:rFonts w:ascii="Arial" w:cs="Arial" w:eastAsia="Arial" w:hAnsi="Arial"/>
          <w:sz w:val="15"/>
          <w:szCs w:val="15"/>
          <w:color w:val="auto"/>
        </w:rPr>
        <w:t>The following table summarizes the fair values of investments classified as marketable debt securities by contractual maturity date as of April 30, 2023:</w:t>
      </w:r>
    </w:p>
    <w:p>
      <w:pPr>
        <w:spacing w:after="0" w:line="3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8600" w:type="dxa"/>
            <w:vAlign w:val="bottom"/>
            <w:tcBorders>
              <w:bottom w:val="single" w:sz="8" w:color="CCEEFF"/>
            </w:tcBorders>
          </w:tcPr>
          <w:p>
            <w:pPr>
              <w:spacing w:after="0"/>
              <w:rPr>
                <w:sz w:val="15"/>
                <w:szCs w:val="15"/>
                <w:color w:val="auto"/>
              </w:rPr>
            </w:pPr>
          </w:p>
        </w:tc>
        <w:tc>
          <w:tcPr>
            <w:tcW w:w="380" w:type="dxa"/>
            <w:vAlign w:val="bottom"/>
            <w:tcBorders>
              <w:bottom w:val="single" w:sz="8" w:color="auto"/>
            </w:tcBorders>
          </w:tcPr>
          <w:p>
            <w:pPr>
              <w:spacing w:after="0"/>
              <w:rPr>
                <w:sz w:val="15"/>
                <w:szCs w:val="15"/>
                <w:color w:val="auto"/>
              </w:rPr>
            </w:pPr>
          </w:p>
        </w:tc>
        <w:tc>
          <w:tcPr>
            <w:tcW w:w="1600" w:type="dxa"/>
            <w:vAlign w:val="bottom"/>
            <w:tcBorders>
              <w:bottom w:val="single" w:sz="8" w:color="auto"/>
            </w:tcBorders>
          </w:tcPr>
          <w:p>
            <w:pPr>
              <w:jc w:val="right"/>
              <w:ind w:right="611"/>
              <w:spacing w:after="0"/>
              <w:rPr>
                <w:sz w:val="20"/>
                <w:szCs w:val="20"/>
                <w:color w:val="auto"/>
              </w:rPr>
            </w:pPr>
            <w:r>
              <w:rPr>
                <w:rFonts w:ascii="Arial" w:cs="Arial" w:eastAsia="Arial" w:hAnsi="Arial"/>
                <w:sz w:val="13"/>
                <w:szCs w:val="13"/>
                <w:b w:val="1"/>
                <w:bCs w:val="1"/>
                <w:color w:val="auto"/>
              </w:rPr>
              <w:t>Fair Value</w:t>
            </w:r>
          </w:p>
        </w:tc>
      </w:tr>
      <w:tr>
        <w:trPr>
          <w:trHeight w:val="179"/>
        </w:trPr>
        <w:tc>
          <w:tcPr>
            <w:tcW w:w="8600" w:type="dxa"/>
            <w:vAlign w:val="bottom"/>
            <w:shd w:val="clear" w:color="auto" w:fill="CCEEFF"/>
          </w:tcPr>
          <w:p>
            <w:pPr>
              <w:ind w:left="20"/>
              <w:spacing w:after="0"/>
              <w:rPr>
                <w:sz w:val="20"/>
                <w:szCs w:val="20"/>
                <w:color w:val="auto"/>
              </w:rPr>
            </w:pPr>
            <w:r>
              <w:rPr>
                <w:rFonts w:ascii="Arial" w:cs="Arial" w:eastAsia="Arial" w:hAnsi="Arial"/>
                <w:sz w:val="14"/>
                <w:szCs w:val="14"/>
                <w:color w:val="auto"/>
              </w:rPr>
              <w:t>Due within 1 year</w:t>
            </w:r>
          </w:p>
        </w:tc>
        <w:tc>
          <w:tcPr>
            <w:tcW w:w="380" w:type="dxa"/>
            <w:vAlign w:val="bottom"/>
            <w:shd w:val="clear" w:color="auto" w:fill="CCEEFF"/>
          </w:tcPr>
          <w:p>
            <w:pPr>
              <w:jc w:val="right"/>
              <w:ind w:right="230"/>
              <w:spacing w:after="0"/>
              <w:rPr>
                <w:sz w:val="20"/>
                <w:szCs w:val="20"/>
                <w:color w:val="auto"/>
              </w:rPr>
            </w:pPr>
            <w:r>
              <w:rPr>
                <w:rFonts w:ascii="Arial" w:cs="Arial" w:eastAsia="Arial" w:hAnsi="Arial"/>
                <w:sz w:val="14"/>
                <w:szCs w:val="14"/>
                <w:color w:val="auto"/>
                <w:w w:val="76"/>
              </w:rPr>
              <w:t>$</w:t>
            </w:r>
          </w:p>
        </w:tc>
        <w:tc>
          <w:tcPr>
            <w:tcW w:w="16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191</w:t>
            </w:r>
          </w:p>
        </w:tc>
      </w:tr>
      <w:tr>
        <w:trPr>
          <w:trHeight w:val="185"/>
        </w:trPr>
        <w:tc>
          <w:tcPr>
            <w:tcW w:w="8600" w:type="dxa"/>
            <w:vAlign w:val="bottom"/>
          </w:tcPr>
          <w:p>
            <w:pPr>
              <w:ind w:left="20"/>
              <w:spacing w:after="0"/>
              <w:rPr>
                <w:sz w:val="20"/>
                <w:szCs w:val="20"/>
                <w:color w:val="auto"/>
              </w:rPr>
            </w:pPr>
            <w:r>
              <w:rPr>
                <w:rFonts w:ascii="Arial" w:cs="Arial" w:eastAsia="Arial" w:hAnsi="Arial"/>
                <w:sz w:val="14"/>
                <w:szCs w:val="14"/>
                <w:color w:val="auto"/>
              </w:rPr>
              <w:t>Due in 1 year through 5 years</w:t>
            </w:r>
          </w:p>
        </w:tc>
        <w:tc>
          <w:tcPr>
            <w:tcW w:w="380" w:type="dxa"/>
            <w:vAlign w:val="bottom"/>
          </w:tcPr>
          <w:p>
            <w:pPr>
              <w:spacing w:after="0"/>
              <w:rPr>
                <w:sz w:val="16"/>
                <w:szCs w:val="16"/>
                <w:color w:val="auto"/>
              </w:rPr>
            </w:pPr>
          </w:p>
        </w:tc>
        <w:tc>
          <w:tcPr>
            <w:tcW w:w="1600" w:type="dxa"/>
            <w:vAlign w:val="bottom"/>
          </w:tcPr>
          <w:p>
            <w:pPr>
              <w:jc w:val="right"/>
              <w:spacing w:after="0"/>
              <w:rPr>
                <w:sz w:val="20"/>
                <w:szCs w:val="20"/>
                <w:color w:val="auto"/>
              </w:rPr>
            </w:pPr>
            <w:r>
              <w:rPr>
                <w:rFonts w:ascii="Arial" w:cs="Arial" w:eastAsia="Arial" w:hAnsi="Arial"/>
                <w:sz w:val="14"/>
                <w:szCs w:val="14"/>
                <w:color w:val="auto"/>
              </w:rPr>
              <w:t>197</w:t>
            </w:r>
          </w:p>
        </w:tc>
      </w:tr>
      <w:tr>
        <w:trPr>
          <w:trHeight w:val="190"/>
        </w:trPr>
        <w:tc>
          <w:tcPr>
            <w:tcW w:w="8600" w:type="dxa"/>
            <w:vAlign w:val="bottom"/>
            <w:shd w:val="clear" w:color="auto" w:fill="CCEEFF"/>
          </w:tcPr>
          <w:p>
            <w:pPr>
              <w:ind w:left="20"/>
              <w:spacing w:after="0"/>
              <w:rPr>
                <w:sz w:val="20"/>
                <w:szCs w:val="20"/>
                <w:color w:val="auto"/>
              </w:rPr>
            </w:pPr>
            <w:r>
              <w:rPr>
                <w:rFonts w:ascii="Arial" w:cs="Arial" w:eastAsia="Arial" w:hAnsi="Arial"/>
                <w:sz w:val="14"/>
                <w:szCs w:val="14"/>
                <w:color w:val="auto"/>
              </w:rPr>
              <w:t>Due in 5 years through 10 years</w:t>
            </w:r>
          </w:p>
        </w:tc>
        <w:tc>
          <w:tcPr>
            <w:tcW w:w="380" w:type="dxa"/>
            <w:vAlign w:val="bottom"/>
            <w:shd w:val="clear" w:color="auto" w:fill="CCEEFF"/>
          </w:tcPr>
          <w:p>
            <w:pPr>
              <w:spacing w:after="0"/>
              <w:rPr>
                <w:sz w:val="16"/>
                <w:szCs w:val="16"/>
                <w:color w:val="auto"/>
              </w:rPr>
            </w:pPr>
          </w:p>
        </w:tc>
        <w:tc>
          <w:tcPr>
            <w:tcW w:w="160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8</w:t>
            </w:r>
          </w:p>
        </w:tc>
      </w:tr>
      <w:tr>
        <w:trPr>
          <w:trHeight w:val="185"/>
        </w:trPr>
        <w:tc>
          <w:tcPr>
            <w:tcW w:w="860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Due after 10 years</w:t>
            </w:r>
          </w:p>
        </w:tc>
        <w:tc>
          <w:tcPr>
            <w:tcW w:w="380" w:type="dxa"/>
            <w:vAlign w:val="bottom"/>
            <w:tcBorders>
              <w:bottom w:val="single" w:sz="8" w:color="auto"/>
            </w:tcBorders>
          </w:tcPr>
          <w:p>
            <w:pPr>
              <w:spacing w:after="0"/>
              <w:rPr>
                <w:sz w:val="16"/>
                <w:szCs w:val="16"/>
                <w:color w:val="auto"/>
              </w:rPr>
            </w:pPr>
          </w:p>
        </w:tc>
        <w:tc>
          <w:tcPr>
            <w:tcW w:w="160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11</w:t>
            </w:r>
          </w:p>
        </w:tc>
      </w:tr>
      <w:tr>
        <w:trPr>
          <w:trHeight w:val="207"/>
        </w:trPr>
        <w:tc>
          <w:tcPr>
            <w:tcW w:w="8600" w:type="dxa"/>
            <w:vAlign w:val="bottom"/>
            <w:tcBorders>
              <w:bottom w:val="single" w:sz="8" w:color="CCEEFF"/>
            </w:tcBorders>
            <w:shd w:val="clear" w:color="auto" w:fill="CCEEFF"/>
          </w:tcPr>
          <w:p>
            <w:pPr>
              <w:ind w:left="220"/>
              <w:spacing w:after="0"/>
              <w:rPr>
                <w:sz w:val="20"/>
                <w:szCs w:val="20"/>
                <w:color w:val="auto"/>
              </w:rPr>
            </w:pPr>
            <w:r>
              <w:rPr>
                <w:rFonts w:ascii="Arial" w:cs="Arial" w:eastAsia="Arial" w:hAnsi="Arial"/>
                <w:sz w:val="14"/>
                <w:szCs w:val="14"/>
                <w:color w:val="auto"/>
              </w:rPr>
              <w:t>Total</w:t>
            </w:r>
          </w:p>
        </w:tc>
        <w:tc>
          <w:tcPr>
            <w:tcW w:w="380" w:type="dxa"/>
            <w:vAlign w:val="bottom"/>
            <w:tcBorders>
              <w:bottom w:val="single" w:sz="8" w:color="auto"/>
            </w:tcBorders>
            <w:shd w:val="clear" w:color="auto" w:fill="CCEEFF"/>
          </w:tcPr>
          <w:p>
            <w:pPr>
              <w:jc w:val="right"/>
              <w:ind w:right="230"/>
              <w:spacing w:after="0"/>
              <w:rPr>
                <w:sz w:val="20"/>
                <w:szCs w:val="20"/>
                <w:color w:val="auto"/>
              </w:rPr>
            </w:pPr>
            <w:r>
              <w:rPr>
                <w:rFonts w:ascii="Arial" w:cs="Arial" w:eastAsia="Arial" w:hAnsi="Arial"/>
                <w:sz w:val="14"/>
                <w:szCs w:val="14"/>
                <w:color w:val="auto"/>
                <w:w w:val="76"/>
              </w:rPr>
              <w:t>$</w:t>
            </w:r>
          </w:p>
        </w:tc>
        <w:tc>
          <w:tcPr>
            <w:tcW w:w="16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407</w:t>
            </w:r>
          </w:p>
        </w:tc>
      </w:tr>
      <w:tr>
        <w:trPr>
          <w:trHeight w:val="20"/>
        </w:trPr>
        <w:tc>
          <w:tcPr>
            <w:tcW w:w="8600" w:type="dxa"/>
            <w:vAlign w:val="bottom"/>
            <w:tcBorders>
              <w:top w:val="single" w:sz="8" w:color="CCEEFF"/>
            </w:tcBorders>
          </w:tcPr>
          <w:p>
            <w:pPr>
              <w:spacing w:after="0" w:line="20" w:lineRule="exact"/>
              <w:rPr>
                <w:sz w:val="1"/>
                <w:szCs w:val="1"/>
                <w:color w:val="auto"/>
              </w:rPr>
            </w:pPr>
          </w:p>
        </w:tc>
        <w:tc>
          <w:tcPr>
            <w:tcW w:w="380" w:type="dxa"/>
            <w:vAlign w:val="bottom"/>
            <w:tcBorders>
              <w:top w:val="single" w:sz="8" w:color="CCEEFF"/>
              <w:bottom w:val="single" w:sz="8" w:color="auto"/>
            </w:tcBorders>
          </w:tcPr>
          <w:p>
            <w:pPr>
              <w:spacing w:after="0" w:line="20" w:lineRule="exact"/>
              <w:rPr>
                <w:sz w:val="1"/>
                <w:szCs w:val="1"/>
                <w:color w:val="auto"/>
              </w:rPr>
            </w:pPr>
          </w:p>
        </w:tc>
        <w:tc>
          <w:tcPr>
            <w:tcW w:w="1600" w:type="dxa"/>
            <w:vAlign w:val="bottom"/>
            <w:tcBorders>
              <w:top w:val="single" w:sz="8" w:color="CCEEFF"/>
              <w:bottom w:val="single" w:sz="8" w:color="auto"/>
            </w:tcBorders>
          </w:tcPr>
          <w:p>
            <w:pPr>
              <w:spacing w:after="0" w:line="20" w:lineRule="exact"/>
              <w:rPr>
                <w:sz w:val="1"/>
                <w:szCs w:val="1"/>
                <w:color w:val="auto"/>
              </w:rPr>
            </w:pPr>
          </w:p>
        </w:tc>
      </w:tr>
    </w:tbl>
    <w:p>
      <w:pPr>
        <w:spacing w:after="0" w:line="239" w:lineRule="exact"/>
        <w:rPr>
          <w:sz w:val="20"/>
          <w:szCs w:val="20"/>
          <w:color w:val="auto"/>
        </w:rPr>
      </w:pPr>
    </w:p>
    <w:p>
      <w:pPr>
        <w:ind w:right="320" w:firstLine="351"/>
        <w:spacing w:after="0" w:line="271" w:lineRule="auto"/>
        <w:rPr>
          <w:sz w:val="20"/>
          <w:szCs w:val="20"/>
          <w:color w:val="auto"/>
        </w:rPr>
      </w:pPr>
      <w:r>
        <w:rPr>
          <w:rFonts w:ascii="Arial" w:cs="Arial" w:eastAsia="Arial" w:hAnsi="Arial"/>
          <w:sz w:val="15"/>
          <w:szCs w:val="15"/>
          <w:color w:val="auto"/>
        </w:rPr>
        <w:t>As of both April 30, 2023, and January 31, 2023, Autodesk had no material unrealized losses, individually and in the aggregate, for marketable debt securities that are in a continuous unrealized loss position for greater than 12 months. Total</w:t>
      </w: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440" w:right="660" w:bottom="1440" w:gutter="0" w:footer="0" w:header="0"/>
        </w:sectPr>
      </w:pPr>
    </w:p>
    <w:bookmarkStart w:id="12" w:name="page13"/>
    <w:bookmarkEnd w:id="12"/>
    <w:p>
      <w:pPr>
        <w:spacing w:after="0"/>
        <w:rPr>
          <w:sz w:val="20"/>
          <w:szCs w:val="20"/>
          <w:color w:val="auto"/>
        </w:rPr>
      </w:pPr>
      <w:r>
        <w:rPr>
          <w:rFonts w:ascii="Arial" w:cs="Arial" w:eastAsia="Arial" w:hAnsi="Arial"/>
          <w:sz w:val="15"/>
          <w:szCs w:val="15"/>
          <w:color w:val="auto"/>
        </w:rPr>
        <w:t>unrealized gains for securities with net gains in accumulated other comprehensive income were not material for the three months ended April 30, 2023.</w:t>
      </w:r>
    </w:p>
    <w:p>
      <w:pPr>
        <w:spacing w:after="0" w:line="226" w:lineRule="exact"/>
        <w:rPr>
          <w:sz w:val="20"/>
          <w:szCs w:val="20"/>
          <w:color w:val="auto"/>
        </w:rPr>
      </w:pPr>
    </w:p>
    <w:p>
      <w:pPr>
        <w:ind w:right="260" w:firstLine="351"/>
        <w:spacing w:after="0" w:line="257" w:lineRule="auto"/>
        <w:rPr>
          <w:sz w:val="20"/>
          <w:szCs w:val="20"/>
          <w:color w:val="auto"/>
        </w:rPr>
      </w:pPr>
      <w:r>
        <w:rPr>
          <w:rFonts w:ascii="Arial" w:cs="Arial" w:eastAsia="Arial" w:hAnsi="Arial"/>
          <w:sz w:val="15"/>
          <w:szCs w:val="15"/>
          <w:color w:val="auto"/>
        </w:rPr>
        <w:t>Autodesk monitors all marketable debt securities for potential credit losses by reviewing indicators such as, but not limited to, current credit rating, change in credit rating, credit outlook, and default risk. There were no allowances for credit losses as of both April 30, 2023, and January 31, 2023. There were no write offs of accrued interest receivables for both the three months ended April 30, 2023 and 2022.</w:t>
      </w:r>
    </w:p>
    <w:p>
      <w:pPr>
        <w:spacing w:after="0" w:line="196" w:lineRule="exact"/>
        <w:rPr>
          <w:sz w:val="20"/>
          <w:szCs w:val="20"/>
          <w:color w:val="auto"/>
        </w:rPr>
      </w:pPr>
    </w:p>
    <w:p>
      <w:pPr>
        <w:ind w:firstLine="351"/>
        <w:spacing w:after="0" w:line="257" w:lineRule="auto"/>
        <w:rPr>
          <w:sz w:val="20"/>
          <w:szCs w:val="20"/>
          <w:color w:val="auto"/>
        </w:rPr>
      </w:pPr>
      <w:r>
        <w:rPr>
          <w:rFonts w:ascii="Arial" w:cs="Arial" w:eastAsia="Arial" w:hAnsi="Arial"/>
          <w:sz w:val="15"/>
          <w:szCs w:val="15"/>
          <w:color w:val="auto"/>
        </w:rPr>
        <w:t>There were no material realized gain or loss for the sales or redemptions of marketable debt securities during both the three months ended April 30, 2023 and 2022. Realized gains and losses from the sales or redemptions of marketable debt securities are recorded in “Interest and other income (expense), net” on the Company's Condensed Consolidated Statements of Operations.</w:t>
      </w:r>
    </w:p>
    <w:p>
      <w:pPr>
        <w:spacing w:after="0" w:line="196" w:lineRule="exact"/>
        <w:rPr>
          <w:sz w:val="20"/>
          <w:szCs w:val="20"/>
          <w:color w:val="auto"/>
        </w:rPr>
      </w:pPr>
    </w:p>
    <w:p>
      <w:pPr>
        <w:ind w:left="360"/>
        <w:spacing w:after="0"/>
        <w:rPr>
          <w:sz w:val="20"/>
          <w:szCs w:val="20"/>
          <w:color w:val="auto"/>
        </w:rPr>
      </w:pPr>
      <w:r>
        <w:rPr>
          <w:rFonts w:ascii="Arial" w:cs="Arial" w:eastAsia="Arial" w:hAnsi="Arial"/>
          <w:sz w:val="15"/>
          <w:szCs w:val="15"/>
          <w:color w:val="auto"/>
        </w:rPr>
        <w:t>Proceeds from the sale and maturity of marketable debt securities were as follows:</w:t>
      </w:r>
    </w:p>
    <w:p>
      <w:pPr>
        <w:spacing w:after="0" w:line="30" w:lineRule="exact"/>
        <w:rPr>
          <w:sz w:val="20"/>
          <w:szCs w:val="20"/>
          <w:color w:val="auto"/>
        </w:rPr>
      </w:pPr>
    </w:p>
    <w:p>
      <w:pPr>
        <w:ind w:left="8300"/>
        <w:spacing w:after="0"/>
        <w:rPr>
          <w:sz w:val="20"/>
          <w:szCs w:val="20"/>
          <w:color w:val="auto"/>
        </w:rPr>
      </w:pPr>
      <w:r>
        <w:rPr>
          <w:rFonts w:ascii="Arial" w:cs="Arial" w:eastAsia="Arial" w:hAnsi="Arial"/>
          <w:sz w:val="13"/>
          <w:szCs w:val="13"/>
          <w:b w:val="1"/>
          <w:bCs w:val="1"/>
          <w:color w:val="auto"/>
        </w:rPr>
        <w:t>Three Months Ended April 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4748530</wp:posOffset>
            </wp:positionH>
            <wp:positionV relativeFrom="paragraph">
              <wp:posOffset>19050</wp:posOffset>
            </wp:positionV>
            <wp:extent cx="1964055" cy="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1964055" cy="7620"/>
                    </a:xfrm>
                    <a:prstGeom prst="rect">
                      <a:avLst/>
                    </a:prstGeom>
                    <a:noFill/>
                  </pic:spPr>
                </pic:pic>
              </a:graphicData>
            </a:graphic>
          </wp:anchor>
        </w:drawing>
      </w:r>
    </w:p>
    <w:p>
      <w:pPr>
        <w:spacing w:after="0" w:line="18" w:lineRule="exact"/>
        <w:rPr>
          <w:sz w:val="20"/>
          <w:szCs w:val="20"/>
          <w:color w:val="auto"/>
        </w:rPr>
      </w:pPr>
    </w:p>
    <w:p>
      <w:pPr>
        <w:ind w:left="8260"/>
        <w:spacing w:after="0"/>
        <w:tabs>
          <w:tab w:leader="none" w:pos="9840" w:val="left"/>
        </w:tabs>
        <w:rPr>
          <w:sz w:val="20"/>
          <w:szCs w:val="20"/>
          <w:color w:val="auto"/>
        </w:rPr>
      </w:pPr>
      <w:r>
        <w:rPr>
          <w:rFonts w:ascii="Arial" w:cs="Arial" w:eastAsia="Arial" w:hAnsi="Arial"/>
          <w:sz w:val="13"/>
          <w:szCs w:val="13"/>
          <w:b w:val="1"/>
          <w:bCs w:val="1"/>
          <w:color w:val="auto"/>
        </w:rPr>
        <w:t>2023</w:t>
      </w:r>
      <w:r>
        <w:rPr>
          <w:sz w:val="20"/>
          <w:szCs w:val="20"/>
          <w:color w:val="auto"/>
        </w:rPr>
        <w:tab/>
      </w:r>
      <w:r>
        <w:rPr>
          <w:rFonts w:ascii="Arial" w:cs="Arial" w:eastAsia="Arial" w:hAnsi="Arial"/>
          <w:sz w:val="13"/>
          <w:szCs w:val="13"/>
          <w:b w:val="1"/>
          <w:bCs w:val="1"/>
          <w:color w:val="auto"/>
        </w:rPr>
        <w:t>2022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wp:posOffset>
            </wp:positionH>
            <wp:positionV relativeFrom="paragraph">
              <wp:posOffset>19050</wp:posOffset>
            </wp:positionV>
            <wp:extent cx="6710680" cy="12636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6710680" cy="126365"/>
                    </a:xfrm>
                    <a:prstGeom prst="rect">
                      <a:avLst/>
                    </a:prstGeom>
                    <a:noFill/>
                  </pic:spPr>
                </pic:pic>
              </a:graphicData>
            </a:graphic>
          </wp:anchor>
        </w:drawing>
      </w:r>
    </w:p>
    <w:p>
      <w:pPr>
        <w:spacing w:after="0" w:line="25" w:lineRule="exact"/>
        <w:rPr>
          <w:sz w:val="20"/>
          <w:szCs w:val="20"/>
          <w:color w:val="auto"/>
        </w:rPr>
      </w:pPr>
    </w:p>
    <w:p>
      <w:pPr>
        <w:ind w:left="360"/>
        <w:spacing w:after="0"/>
        <w:tabs>
          <w:tab w:leader="none" w:pos="7820" w:val="left"/>
          <w:tab w:leader="none" w:pos="8660" w:val="left"/>
          <w:tab w:leader="none" w:pos="9420" w:val="left"/>
          <w:tab w:leader="none" w:pos="10260" w:val="left"/>
        </w:tabs>
        <w:rPr>
          <w:sz w:val="20"/>
          <w:szCs w:val="20"/>
          <w:color w:val="auto"/>
        </w:rPr>
      </w:pPr>
      <w:r>
        <w:rPr>
          <w:rFonts w:ascii="Arial" w:cs="Arial" w:eastAsia="Arial" w:hAnsi="Arial"/>
          <w:sz w:val="14"/>
          <w:szCs w:val="14"/>
          <w:color w:val="auto"/>
        </w:rPr>
        <w:t>Marketable debt securities</w:t>
      </w:r>
      <w:r>
        <w:rPr>
          <w:sz w:val="20"/>
          <w:szCs w:val="20"/>
          <w:color w:val="auto"/>
        </w:rPr>
        <w:tab/>
      </w:r>
      <w:r>
        <w:rPr>
          <w:rFonts w:ascii="Arial" w:cs="Arial" w:eastAsia="Arial" w:hAnsi="Arial"/>
          <w:sz w:val="14"/>
          <w:szCs w:val="14"/>
          <w:color w:val="auto"/>
        </w:rPr>
        <w:t>$</w:t>
      </w:r>
      <w:r>
        <w:rPr>
          <w:sz w:val="20"/>
          <w:szCs w:val="20"/>
          <w:color w:val="auto"/>
        </w:rPr>
        <w:tab/>
      </w:r>
      <w:r>
        <w:rPr>
          <w:rFonts w:ascii="Arial" w:cs="Arial" w:eastAsia="Arial" w:hAnsi="Arial"/>
          <w:sz w:val="14"/>
          <w:szCs w:val="14"/>
          <w:color w:val="auto"/>
        </w:rPr>
        <w:t>163</w:t>
      </w:r>
      <w:r>
        <w:rPr>
          <w:sz w:val="20"/>
          <w:szCs w:val="20"/>
          <w:color w:val="auto"/>
        </w:rPr>
        <w:tab/>
      </w:r>
      <w:r>
        <w:rPr>
          <w:rFonts w:ascii="Arial" w:cs="Arial" w:eastAsia="Arial" w:hAnsi="Arial"/>
          <w:sz w:val="14"/>
          <w:szCs w:val="14"/>
          <w:color w:val="auto"/>
        </w:rPr>
        <w:t>$</w:t>
      </w:r>
      <w:r>
        <w:rPr>
          <w:sz w:val="20"/>
          <w:szCs w:val="20"/>
          <w:color w:val="auto"/>
        </w:rPr>
        <w:tab/>
      </w:r>
      <w:r>
        <w:rPr>
          <w:rFonts w:ascii="Arial" w:cs="Arial" w:eastAsia="Arial" w:hAnsi="Arial"/>
          <w:sz w:val="14"/>
          <w:szCs w:val="14"/>
          <w:color w:val="auto"/>
        </w:rPr>
        <w:t>202</w:t>
      </w:r>
    </w:p>
    <w:p>
      <w:pPr>
        <w:spacing w:after="0" w:line="303"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Strategic investments in equity securities</w:t>
      </w:r>
    </w:p>
    <w:p>
      <w:pPr>
        <w:spacing w:after="0" w:line="232" w:lineRule="exact"/>
        <w:rPr>
          <w:sz w:val="20"/>
          <w:szCs w:val="20"/>
          <w:color w:val="auto"/>
        </w:rPr>
      </w:pPr>
    </w:p>
    <w:p>
      <w:pPr>
        <w:ind w:right="20" w:firstLine="351"/>
        <w:spacing w:after="0" w:line="251" w:lineRule="auto"/>
        <w:rPr>
          <w:sz w:val="20"/>
          <w:szCs w:val="20"/>
          <w:color w:val="auto"/>
        </w:rPr>
      </w:pPr>
      <w:r>
        <w:rPr>
          <w:rFonts w:ascii="Arial" w:cs="Arial" w:eastAsia="Arial" w:hAnsi="Arial"/>
          <w:sz w:val="15"/>
          <w:szCs w:val="15"/>
          <w:color w:val="auto"/>
        </w:rPr>
        <w:t>As of April 30, 2023, and January 31, 2023, Autodesk had $182 million and $177 million, respectively, in direct investments in privately held companies. These strategic investments in equity securities do not have readily determined fair values, and Autodesk uses the measurement alternative to account for the adjustment to these investments in a given quarter. If Autodesk determines that an impairment has occurred, Autodesk writes down the investment to its fair value. These strategic investments in equity securities are generally subject to a security-specific restriction which limits the sale or transfer of the respective equity security during the holding period.</w:t>
      </w:r>
    </w:p>
    <w:p>
      <w:pPr>
        <w:spacing w:after="0" w:line="199" w:lineRule="exact"/>
        <w:rPr>
          <w:sz w:val="20"/>
          <w:szCs w:val="20"/>
          <w:color w:val="auto"/>
        </w:rPr>
      </w:pPr>
    </w:p>
    <w:p>
      <w:pPr>
        <w:ind w:right="100" w:firstLine="351"/>
        <w:spacing w:after="0" w:line="257" w:lineRule="auto"/>
        <w:rPr>
          <w:sz w:val="20"/>
          <w:szCs w:val="20"/>
          <w:color w:val="auto"/>
        </w:rPr>
      </w:pPr>
      <w:r>
        <w:rPr>
          <w:rFonts w:ascii="Arial" w:cs="Arial" w:eastAsia="Arial" w:hAnsi="Arial"/>
          <w:sz w:val="15"/>
          <w:szCs w:val="15"/>
          <w:color w:val="auto"/>
        </w:rPr>
        <w:t>Adjustments to the carrying value of our strategic investment equity securities with no readily determined fair values measured using the measurement alternative are included in “Interest and other income (expense), net” on the Company's Condensed Consolidated Statements of Operations. These adjustments were as follows:</w:t>
      </w:r>
    </w:p>
    <w:tbl>
      <w:tblPr>
        <w:tblLayout w:type="fixed"/>
        <w:tblInd w:w="0" w:type="dxa"/>
        <w:tblCellMar>
          <w:top w:w="0" w:type="dxa"/>
          <w:left w:w="0" w:type="dxa"/>
          <w:bottom w:w="0" w:type="dxa"/>
          <w:right w:w="0" w:type="dxa"/>
        </w:tblCellMar>
      </w:tblPr>
      <w:tr>
        <w:trPr>
          <w:trHeight w:val="133"/>
        </w:trPr>
        <w:tc>
          <w:tcPr>
            <w:tcW w:w="5740" w:type="dxa"/>
            <w:vAlign w:val="bottom"/>
          </w:tcPr>
          <w:p>
            <w:pPr>
              <w:spacing w:after="0"/>
              <w:rPr>
                <w:sz w:val="11"/>
                <w:szCs w:val="11"/>
                <w:color w:val="auto"/>
              </w:rPr>
            </w:pPr>
          </w:p>
        </w:tc>
        <w:tc>
          <w:tcPr>
            <w:tcW w:w="2600" w:type="dxa"/>
            <w:vAlign w:val="bottom"/>
            <w:gridSpan w:val="4"/>
            <w:vMerge w:val="restart"/>
          </w:tcPr>
          <w:p>
            <w:pPr>
              <w:jc w:val="right"/>
              <w:ind w:right="16"/>
              <w:spacing w:after="0"/>
              <w:rPr>
                <w:sz w:val="20"/>
                <w:szCs w:val="20"/>
                <w:color w:val="auto"/>
              </w:rPr>
            </w:pPr>
            <w:r>
              <w:rPr>
                <w:rFonts w:ascii="Arial" w:cs="Arial" w:eastAsia="Arial" w:hAnsi="Arial"/>
                <w:sz w:val="13"/>
                <w:szCs w:val="13"/>
                <w:b w:val="1"/>
                <w:bCs w:val="1"/>
                <w:color w:val="auto"/>
              </w:rPr>
              <w:t>Three Months Ended April 30,</w:t>
            </w:r>
          </w:p>
        </w:tc>
        <w:tc>
          <w:tcPr>
            <w:tcW w:w="2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840" w:type="dxa"/>
            <w:vAlign w:val="bottom"/>
            <w:gridSpan w:val="2"/>
          </w:tcPr>
          <w:p>
            <w:pPr>
              <w:jc w:val="right"/>
              <w:spacing w:after="0" w:line="133" w:lineRule="exact"/>
              <w:rPr>
                <w:sz w:val="20"/>
                <w:szCs w:val="20"/>
                <w:color w:val="auto"/>
              </w:rPr>
            </w:pPr>
            <w:r>
              <w:rPr>
                <w:rFonts w:ascii="Arial" w:cs="Arial" w:eastAsia="Arial" w:hAnsi="Arial"/>
                <w:sz w:val="13"/>
                <w:szCs w:val="13"/>
                <w:b w:val="1"/>
                <w:bCs w:val="1"/>
                <w:color w:val="auto"/>
              </w:rPr>
              <w:t>Cumulative Amount as</w:t>
            </w:r>
          </w:p>
        </w:tc>
        <w:tc>
          <w:tcPr>
            <w:tcW w:w="0" w:type="dxa"/>
            <w:vAlign w:val="bottom"/>
          </w:tcPr>
          <w:p>
            <w:pPr>
              <w:spacing w:after="0"/>
              <w:rPr>
                <w:sz w:val="1"/>
                <w:szCs w:val="1"/>
                <w:color w:val="auto"/>
              </w:rPr>
            </w:pPr>
          </w:p>
        </w:tc>
      </w:tr>
      <w:tr>
        <w:trPr>
          <w:trHeight w:val="176"/>
        </w:trPr>
        <w:tc>
          <w:tcPr>
            <w:tcW w:w="5740" w:type="dxa"/>
            <w:vAlign w:val="bottom"/>
          </w:tcPr>
          <w:p>
            <w:pPr>
              <w:spacing w:after="0"/>
              <w:rPr>
                <w:sz w:val="15"/>
                <w:szCs w:val="15"/>
                <w:color w:val="auto"/>
              </w:rPr>
            </w:pPr>
          </w:p>
        </w:tc>
        <w:tc>
          <w:tcPr>
            <w:tcW w:w="2600" w:type="dxa"/>
            <w:vAlign w:val="bottom"/>
            <w:tcBorders>
              <w:bottom w:val="single" w:sz="8" w:color="auto"/>
            </w:tcBorders>
            <w:gridSpan w:val="4"/>
            <w:vMerge w:val="continue"/>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560" w:type="dxa"/>
            <w:vAlign w:val="bottom"/>
            <w:tcBorders>
              <w:bottom w:val="single" w:sz="8" w:color="auto"/>
            </w:tcBorders>
          </w:tcPr>
          <w:p>
            <w:pPr>
              <w:spacing w:after="0"/>
              <w:rPr>
                <w:sz w:val="15"/>
                <w:szCs w:val="15"/>
                <w:color w:val="auto"/>
              </w:rPr>
            </w:pPr>
          </w:p>
        </w:tc>
        <w:tc>
          <w:tcPr>
            <w:tcW w:w="1280" w:type="dxa"/>
            <w:vAlign w:val="bottom"/>
            <w:tcBorders>
              <w:bottom w:val="single" w:sz="8" w:color="auto"/>
            </w:tcBorders>
          </w:tcPr>
          <w:p>
            <w:pPr>
              <w:jc w:val="right"/>
              <w:ind w:right="792"/>
              <w:spacing w:after="0"/>
              <w:rPr>
                <w:sz w:val="20"/>
                <w:szCs w:val="20"/>
                <w:color w:val="auto"/>
              </w:rPr>
            </w:pPr>
            <w:r>
              <w:rPr>
                <w:rFonts w:ascii="Arial" w:cs="Arial" w:eastAsia="Arial" w:hAnsi="Arial"/>
                <w:sz w:val="13"/>
                <w:szCs w:val="13"/>
                <w:b w:val="1"/>
                <w:bCs w:val="1"/>
                <w:color w:val="auto"/>
              </w:rPr>
              <w:t>of</w:t>
            </w:r>
          </w:p>
        </w:tc>
        <w:tc>
          <w:tcPr>
            <w:tcW w:w="0" w:type="dxa"/>
            <w:vAlign w:val="bottom"/>
          </w:tcPr>
          <w:p>
            <w:pPr>
              <w:spacing w:after="0"/>
              <w:rPr>
                <w:sz w:val="1"/>
                <w:szCs w:val="1"/>
                <w:color w:val="auto"/>
              </w:rPr>
            </w:pPr>
          </w:p>
        </w:tc>
      </w:tr>
      <w:tr>
        <w:trPr>
          <w:trHeight w:val="167"/>
        </w:trPr>
        <w:tc>
          <w:tcPr>
            <w:tcW w:w="5740" w:type="dxa"/>
            <w:vAlign w:val="bottom"/>
            <w:tcBorders>
              <w:bottom w:val="single" w:sz="8" w:color="CCEEFF"/>
            </w:tcBorders>
          </w:tcPr>
          <w:p>
            <w:pPr>
              <w:spacing w:after="0"/>
              <w:rPr>
                <w:sz w:val="14"/>
                <w:szCs w:val="14"/>
                <w:color w:val="auto"/>
              </w:rPr>
            </w:pPr>
          </w:p>
        </w:tc>
        <w:tc>
          <w:tcPr>
            <w:tcW w:w="1100" w:type="dxa"/>
            <w:vAlign w:val="bottom"/>
            <w:tcBorders>
              <w:bottom w:val="single" w:sz="8" w:color="auto"/>
            </w:tcBorders>
          </w:tcPr>
          <w:p>
            <w:pPr>
              <w:jc w:val="right"/>
              <w:ind w:right="13"/>
              <w:spacing w:after="0"/>
              <w:rPr>
                <w:sz w:val="20"/>
                <w:szCs w:val="20"/>
                <w:color w:val="auto"/>
              </w:rPr>
            </w:pPr>
            <w:r>
              <w:rPr>
                <w:rFonts w:ascii="Arial" w:cs="Arial" w:eastAsia="Arial" w:hAnsi="Arial"/>
                <w:sz w:val="13"/>
                <w:szCs w:val="13"/>
                <w:b w:val="1"/>
                <w:bCs w:val="1"/>
                <w:color w:val="auto"/>
              </w:rPr>
              <w:t>2023</w:t>
            </w:r>
          </w:p>
        </w:tc>
        <w:tc>
          <w:tcPr>
            <w:tcW w:w="280" w:type="dxa"/>
            <w:vAlign w:val="bottom"/>
            <w:tcBorders>
              <w:bottom w:val="single" w:sz="8" w:color="auto"/>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1120" w:type="dxa"/>
            <w:vAlign w:val="bottom"/>
            <w:tcBorders>
              <w:bottom w:val="single" w:sz="8" w:color="auto"/>
            </w:tcBorders>
          </w:tcPr>
          <w:p>
            <w:pPr>
              <w:jc w:val="right"/>
              <w:ind w:right="36"/>
              <w:spacing w:after="0"/>
              <w:rPr>
                <w:sz w:val="20"/>
                <w:szCs w:val="20"/>
                <w:color w:val="auto"/>
              </w:rPr>
            </w:pPr>
            <w:r>
              <w:rPr>
                <w:rFonts w:ascii="Arial" w:cs="Arial" w:eastAsia="Arial" w:hAnsi="Arial"/>
                <w:sz w:val="13"/>
                <w:szCs w:val="13"/>
                <w:b w:val="1"/>
                <w:bCs w:val="1"/>
                <w:color w:val="auto"/>
              </w:rPr>
              <w:t>2022</w:t>
            </w:r>
          </w:p>
        </w:tc>
        <w:tc>
          <w:tcPr>
            <w:tcW w:w="260" w:type="dxa"/>
            <w:vAlign w:val="bottom"/>
            <w:tcBorders>
              <w:bottom w:val="single" w:sz="8" w:color="auto"/>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560" w:type="dxa"/>
            <w:vAlign w:val="bottom"/>
            <w:tcBorders>
              <w:bottom w:val="single" w:sz="8" w:color="auto"/>
            </w:tcBorders>
          </w:tcPr>
          <w:p>
            <w:pPr>
              <w:spacing w:after="0"/>
              <w:rPr>
                <w:sz w:val="14"/>
                <w:szCs w:val="14"/>
                <w:color w:val="auto"/>
              </w:rPr>
            </w:pPr>
          </w:p>
        </w:tc>
        <w:tc>
          <w:tcPr>
            <w:tcW w:w="1280" w:type="dxa"/>
            <w:vAlign w:val="bottom"/>
            <w:tcBorders>
              <w:bottom w:val="single" w:sz="8" w:color="auto"/>
            </w:tcBorders>
          </w:tcPr>
          <w:p>
            <w:pPr>
              <w:jc w:val="right"/>
              <w:ind w:right="252"/>
              <w:spacing w:after="0"/>
              <w:rPr>
                <w:sz w:val="20"/>
                <w:szCs w:val="20"/>
                <w:color w:val="auto"/>
              </w:rPr>
            </w:pPr>
            <w:r>
              <w:rPr>
                <w:rFonts w:ascii="Arial" w:cs="Arial" w:eastAsia="Arial" w:hAnsi="Arial"/>
                <w:sz w:val="13"/>
                <w:szCs w:val="13"/>
                <w:b w:val="1"/>
                <w:bCs w:val="1"/>
                <w:color w:val="auto"/>
              </w:rPr>
              <w:t>April 30, 2023</w:t>
            </w:r>
          </w:p>
        </w:tc>
        <w:tc>
          <w:tcPr>
            <w:tcW w:w="0" w:type="dxa"/>
            <w:vAlign w:val="bottom"/>
          </w:tcPr>
          <w:p>
            <w:pPr>
              <w:spacing w:after="0"/>
              <w:rPr>
                <w:sz w:val="1"/>
                <w:szCs w:val="1"/>
                <w:color w:val="auto"/>
              </w:rPr>
            </w:pPr>
          </w:p>
        </w:tc>
      </w:tr>
      <w:tr>
        <w:trPr>
          <w:trHeight w:val="179"/>
        </w:trPr>
        <w:tc>
          <w:tcPr>
            <w:tcW w:w="5740" w:type="dxa"/>
            <w:vAlign w:val="bottom"/>
            <w:shd w:val="clear" w:color="auto" w:fill="CCEEFF"/>
          </w:tcPr>
          <w:p>
            <w:pPr>
              <w:ind w:left="360"/>
              <w:spacing w:after="0"/>
              <w:rPr>
                <w:sz w:val="20"/>
                <w:szCs w:val="20"/>
                <w:color w:val="auto"/>
              </w:rPr>
            </w:pPr>
            <w:r>
              <w:rPr>
                <w:rFonts w:ascii="Arial" w:cs="Arial" w:eastAsia="Arial" w:hAnsi="Arial"/>
                <w:sz w:val="14"/>
                <w:szCs w:val="14"/>
                <w:color w:val="auto"/>
              </w:rPr>
              <w:t>Upward adjustments</w:t>
            </w:r>
          </w:p>
        </w:tc>
        <w:tc>
          <w:tcPr>
            <w:tcW w:w="1100" w:type="dxa"/>
            <w:vAlign w:val="bottom"/>
            <w:shd w:val="clear" w:color="auto" w:fill="CCEEFF"/>
          </w:tcPr>
          <w:p>
            <w:pPr>
              <w:jc w:val="right"/>
              <w:ind w:right="593"/>
              <w:spacing w:after="0"/>
              <w:rPr>
                <w:sz w:val="20"/>
                <w:szCs w:val="20"/>
                <w:color w:val="auto"/>
              </w:rPr>
            </w:pPr>
            <w:r>
              <w:rPr>
                <w:rFonts w:ascii="Arial" w:cs="Arial" w:eastAsia="Arial" w:hAnsi="Arial"/>
                <w:sz w:val="14"/>
                <w:szCs w:val="14"/>
                <w:color w:val="auto"/>
              </w:rPr>
              <w:t>$</w:t>
            </w:r>
          </w:p>
        </w:tc>
        <w:tc>
          <w:tcPr>
            <w:tcW w:w="280" w:type="dxa"/>
            <w:vAlign w:val="bottom"/>
            <w:shd w:val="clear" w:color="auto" w:fill="CCEEFF"/>
          </w:tcPr>
          <w:p>
            <w:pPr>
              <w:ind w:left="80"/>
              <w:spacing w:after="0"/>
              <w:rPr>
                <w:sz w:val="20"/>
                <w:szCs w:val="20"/>
                <w:color w:val="auto"/>
              </w:rPr>
            </w:pPr>
            <w:r>
              <w:rPr>
                <w:rFonts w:ascii="Arial" w:cs="Arial" w:eastAsia="Arial" w:hAnsi="Arial"/>
                <w:sz w:val="14"/>
                <w:szCs w:val="14"/>
                <w:color w:val="auto"/>
              </w:rPr>
              <w:t>—</w:t>
            </w:r>
          </w:p>
        </w:tc>
        <w:tc>
          <w:tcPr>
            <w:tcW w:w="1220" w:type="dxa"/>
            <w:vAlign w:val="bottom"/>
            <w:gridSpan w:val="2"/>
            <w:shd w:val="clear" w:color="auto" w:fill="CCEEFF"/>
          </w:tcPr>
          <w:p>
            <w:pPr>
              <w:jc w:val="right"/>
              <w:ind w:right="616"/>
              <w:spacing w:after="0"/>
              <w:rPr>
                <w:sz w:val="20"/>
                <w:szCs w:val="20"/>
                <w:color w:val="auto"/>
              </w:rPr>
            </w:pPr>
            <w:r>
              <w:rPr>
                <w:rFonts w:ascii="Arial" w:cs="Arial" w:eastAsia="Arial" w:hAnsi="Arial"/>
                <w:sz w:val="14"/>
                <w:szCs w:val="14"/>
                <w:color w:val="auto"/>
              </w:rPr>
              <w:t>$</w:t>
            </w:r>
          </w:p>
        </w:tc>
        <w:tc>
          <w:tcPr>
            <w:tcW w:w="260" w:type="dxa"/>
            <w:vAlign w:val="bottom"/>
            <w:shd w:val="clear" w:color="auto" w:fill="CCEEFF"/>
          </w:tcPr>
          <w:p>
            <w:pPr>
              <w:ind w:left="60"/>
              <w:spacing w:after="0"/>
              <w:rPr>
                <w:sz w:val="20"/>
                <w:szCs w:val="20"/>
                <w:color w:val="auto"/>
              </w:rPr>
            </w:pPr>
            <w:r>
              <w:rPr>
                <w:rFonts w:ascii="Arial" w:cs="Arial" w:eastAsia="Arial" w:hAnsi="Arial"/>
                <w:sz w:val="14"/>
                <w:szCs w:val="14"/>
                <w:color w:val="auto"/>
              </w:rPr>
              <w:t>—</w:t>
            </w:r>
          </w:p>
        </w:tc>
        <w:tc>
          <w:tcPr>
            <w:tcW w:w="660" w:type="dxa"/>
            <w:vAlign w:val="bottom"/>
            <w:gridSpan w:val="2"/>
            <w:shd w:val="clear" w:color="auto" w:fill="CCEEFF"/>
          </w:tcPr>
          <w:p>
            <w:pPr>
              <w:jc w:val="right"/>
              <w:ind w:right="56"/>
              <w:spacing w:after="0"/>
              <w:rPr>
                <w:sz w:val="20"/>
                <w:szCs w:val="20"/>
                <w:color w:val="auto"/>
              </w:rPr>
            </w:pPr>
            <w:r>
              <w:rPr>
                <w:rFonts w:ascii="Arial" w:cs="Arial" w:eastAsia="Arial" w:hAnsi="Arial"/>
                <w:sz w:val="14"/>
                <w:szCs w:val="14"/>
                <w:color w:val="auto"/>
              </w:rPr>
              <w:t>$</w:t>
            </w:r>
          </w:p>
        </w:tc>
        <w:tc>
          <w:tcPr>
            <w:tcW w:w="12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29</w:t>
            </w:r>
          </w:p>
        </w:tc>
        <w:tc>
          <w:tcPr>
            <w:tcW w:w="0" w:type="dxa"/>
            <w:vAlign w:val="bottom"/>
          </w:tcPr>
          <w:p>
            <w:pPr>
              <w:spacing w:after="0"/>
              <w:rPr>
                <w:sz w:val="1"/>
                <w:szCs w:val="1"/>
                <w:color w:val="auto"/>
              </w:rPr>
            </w:pPr>
          </w:p>
        </w:tc>
      </w:tr>
      <w:tr>
        <w:trPr>
          <w:trHeight w:val="185"/>
        </w:trPr>
        <w:tc>
          <w:tcPr>
            <w:tcW w:w="5740" w:type="dxa"/>
            <w:vAlign w:val="bottom"/>
            <w:tcBorders>
              <w:bottom w:val="single" w:sz="8" w:color="CCEEFF"/>
            </w:tcBorders>
          </w:tcPr>
          <w:p>
            <w:pPr>
              <w:ind w:left="360"/>
              <w:spacing w:after="0"/>
              <w:rPr>
                <w:sz w:val="20"/>
                <w:szCs w:val="20"/>
                <w:color w:val="auto"/>
              </w:rPr>
            </w:pPr>
            <w:r>
              <w:rPr>
                <w:rFonts w:ascii="Arial" w:cs="Arial" w:eastAsia="Arial" w:hAnsi="Arial"/>
                <w:sz w:val="14"/>
                <w:szCs w:val="14"/>
                <w:color w:val="auto"/>
              </w:rPr>
              <w:t>Negative adjustments, including impairments</w:t>
            </w:r>
          </w:p>
        </w:tc>
        <w:tc>
          <w:tcPr>
            <w:tcW w:w="110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ind w:left="80"/>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1120" w:type="dxa"/>
            <w:vAlign w:val="bottom"/>
            <w:tcBorders>
              <w:bottom w:val="single" w:sz="8" w:color="auto"/>
            </w:tcBorders>
          </w:tcPr>
          <w:p>
            <w:pPr>
              <w:spacing w:after="0"/>
              <w:rPr>
                <w:sz w:val="16"/>
                <w:szCs w:val="16"/>
                <w:color w:val="auto"/>
              </w:rPr>
            </w:pPr>
          </w:p>
        </w:tc>
        <w:tc>
          <w:tcPr>
            <w:tcW w:w="260" w:type="dxa"/>
            <w:vAlign w:val="bottom"/>
            <w:tcBorders>
              <w:bottom w:val="single" w:sz="8" w:color="auto"/>
            </w:tcBorders>
          </w:tcPr>
          <w:p>
            <w:pPr>
              <w:ind w:left="60"/>
              <w:spacing w:after="0"/>
              <w:rPr>
                <w:sz w:val="20"/>
                <w:szCs w:val="20"/>
                <w:color w:val="auto"/>
              </w:rPr>
            </w:pPr>
            <w:r>
              <w:rPr>
                <w:rFonts w:ascii="Arial" w:cs="Arial" w:eastAsia="Arial" w:hAnsi="Arial"/>
                <w:sz w:val="14"/>
                <w:szCs w:val="14"/>
                <w:color w:val="auto"/>
              </w:rPr>
              <w:t>(2)</w:t>
            </w:r>
          </w:p>
        </w:tc>
        <w:tc>
          <w:tcPr>
            <w:tcW w:w="100" w:type="dxa"/>
            <w:vAlign w:val="bottom"/>
            <w:tcBorders>
              <w:bottom w:val="single" w:sz="8" w:color="CCEEFF"/>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(86)</w:t>
            </w:r>
          </w:p>
        </w:tc>
        <w:tc>
          <w:tcPr>
            <w:tcW w:w="0" w:type="dxa"/>
            <w:vAlign w:val="bottom"/>
          </w:tcPr>
          <w:p>
            <w:pPr>
              <w:spacing w:after="0"/>
              <w:rPr>
                <w:sz w:val="1"/>
                <w:szCs w:val="1"/>
                <w:color w:val="auto"/>
              </w:rPr>
            </w:pPr>
          </w:p>
        </w:tc>
      </w:tr>
      <w:tr>
        <w:trPr>
          <w:trHeight w:val="182"/>
        </w:trPr>
        <w:tc>
          <w:tcPr>
            <w:tcW w:w="5740" w:type="dxa"/>
            <w:vAlign w:val="bottom"/>
            <w:shd w:val="clear" w:color="auto" w:fill="CCEEFF"/>
          </w:tcPr>
          <w:p>
            <w:pPr>
              <w:ind w:left="640"/>
              <w:spacing w:after="0"/>
              <w:rPr>
                <w:sz w:val="20"/>
                <w:szCs w:val="20"/>
                <w:color w:val="auto"/>
              </w:rPr>
            </w:pPr>
            <w:r>
              <w:rPr>
                <w:rFonts w:ascii="Arial" w:cs="Arial" w:eastAsia="Arial" w:hAnsi="Arial"/>
                <w:sz w:val="14"/>
                <w:szCs w:val="14"/>
                <w:color w:val="auto"/>
              </w:rPr>
              <w:t>Net unrealized adjustments</w:t>
            </w:r>
          </w:p>
        </w:tc>
        <w:tc>
          <w:tcPr>
            <w:tcW w:w="1100" w:type="dxa"/>
            <w:vAlign w:val="bottom"/>
            <w:shd w:val="clear" w:color="auto" w:fill="CCEEFF"/>
          </w:tcPr>
          <w:p>
            <w:pPr>
              <w:jc w:val="right"/>
              <w:ind w:right="593"/>
              <w:spacing w:after="0"/>
              <w:rPr>
                <w:sz w:val="20"/>
                <w:szCs w:val="20"/>
                <w:color w:val="auto"/>
              </w:rPr>
            </w:pPr>
            <w:r>
              <w:rPr>
                <w:rFonts w:ascii="Arial" w:cs="Arial" w:eastAsia="Arial" w:hAnsi="Arial"/>
                <w:sz w:val="14"/>
                <w:szCs w:val="14"/>
                <w:color w:val="auto"/>
              </w:rPr>
              <w:t>$</w:t>
            </w:r>
          </w:p>
        </w:tc>
        <w:tc>
          <w:tcPr>
            <w:tcW w:w="280" w:type="dxa"/>
            <w:vAlign w:val="bottom"/>
            <w:shd w:val="clear" w:color="auto" w:fill="CCEEFF"/>
          </w:tcPr>
          <w:p>
            <w:pPr>
              <w:ind w:left="80"/>
              <w:spacing w:after="0"/>
              <w:rPr>
                <w:sz w:val="20"/>
                <w:szCs w:val="20"/>
                <w:color w:val="auto"/>
              </w:rPr>
            </w:pPr>
            <w:r>
              <w:rPr>
                <w:rFonts w:ascii="Arial" w:cs="Arial" w:eastAsia="Arial" w:hAnsi="Arial"/>
                <w:sz w:val="14"/>
                <w:szCs w:val="14"/>
                <w:color w:val="auto"/>
              </w:rPr>
              <w:t>—</w:t>
            </w:r>
          </w:p>
        </w:tc>
        <w:tc>
          <w:tcPr>
            <w:tcW w:w="1220" w:type="dxa"/>
            <w:vAlign w:val="bottom"/>
            <w:gridSpan w:val="2"/>
            <w:shd w:val="clear" w:color="auto" w:fill="CCEEFF"/>
          </w:tcPr>
          <w:p>
            <w:pPr>
              <w:jc w:val="right"/>
              <w:ind w:right="616"/>
              <w:spacing w:after="0"/>
              <w:rPr>
                <w:sz w:val="20"/>
                <w:szCs w:val="20"/>
                <w:color w:val="auto"/>
              </w:rPr>
            </w:pPr>
            <w:r>
              <w:rPr>
                <w:rFonts w:ascii="Arial" w:cs="Arial" w:eastAsia="Arial" w:hAnsi="Arial"/>
                <w:sz w:val="14"/>
                <w:szCs w:val="14"/>
                <w:color w:val="auto"/>
              </w:rPr>
              <w:t>$</w:t>
            </w:r>
          </w:p>
        </w:tc>
        <w:tc>
          <w:tcPr>
            <w:tcW w:w="260" w:type="dxa"/>
            <w:vAlign w:val="bottom"/>
            <w:shd w:val="clear" w:color="auto" w:fill="CCEEFF"/>
          </w:tcPr>
          <w:p>
            <w:pPr>
              <w:ind w:left="60"/>
              <w:spacing w:after="0"/>
              <w:rPr>
                <w:sz w:val="20"/>
                <w:szCs w:val="20"/>
                <w:color w:val="auto"/>
              </w:rPr>
            </w:pPr>
            <w:r>
              <w:rPr>
                <w:rFonts w:ascii="Arial" w:cs="Arial" w:eastAsia="Arial" w:hAnsi="Arial"/>
                <w:sz w:val="14"/>
                <w:szCs w:val="14"/>
                <w:color w:val="auto"/>
              </w:rPr>
              <w:t>(2)</w:t>
            </w:r>
          </w:p>
        </w:tc>
        <w:tc>
          <w:tcPr>
            <w:tcW w:w="660" w:type="dxa"/>
            <w:vAlign w:val="bottom"/>
            <w:gridSpan w:val="2"/>
            <w:shd w:val="clear" w:color="auto" w:fill="CCEEFF"/>
          </w:tcPr>
          <w:p>
            <w:pPr>
              <w:jc w:val="right"/>
              <w:ind w:right="56"/>
              <w:spacing w:after="0"/>
              <w:rPr>
                <w:sz w:val="20"/>
                <w:szCs w:val="20"/>
                <w:color w:val="auto"/>
              </w:rPr>
            </w:pPr>
            <w:r>
              <w:rPr>
                <w:rFonts w:ascii="Arial" w:cs="Arial" w:eastAsia="Arial" w:hAnsi="Arial"/>
                <w:sz w:val="14"/>
                <w:szCs w:val="14"/>
                <w:color w:val="auto"/>
              </w:rPr>
              <w:t>$</w:t>
            </w:r>
          </w:p>
        </w:tc>
        <w:tc>
          <w:tcPr>
            <w:tcW w:w="12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(57)</w:t>
            </w:r>
          </w:p>
        </w:tc>
        <w:tc>
          <w:tcPr>
            <w:tcW w:w="0" w:type="dxa"/>
            <w:vAlign w:val="bottom"/>
          </w:tcPr>
          <w:p>
            <w:pPr>
              <w:spacing w:after="0"/>
              <w:rPr>
                <w:sz w:val="1"/>
                <w:szCs w:val="1"/>
                <w:color w:val="auto"/>
              </w:rPr>
            </w:pPr>
          </w:p>
        </w:tc>
      </w:tr>
    </w:tbl>
    <w:p>
      <w:pPr>
        <w:spacing w:after="0" w:line="286" w:lineRule="exact"/>
        <w:rPr>
          <w:sz w:val="20"/>
          <w:szCs w:val="20"/>
          <w:color w:val="auto"/>
        </w:rPr>
      </w:pPr>
    </w:p>
    <w:p>
      <w:pPr>
        <w:ind w:right="480" w:firstLine="351"/>
        <w:spacing w:after="0" w:line="271" w:lineRule="auto"/>
        <w:rPr>
          <w:sz w:val="20"/>
          <w:szCs w:val="20"/>
          <w:color w:val="auto"/>
        </w:rPr>
      </w:pPr>
      <w:r>
        <w:rPr>
          <w:rFonts w:ascii="Arial" w:cs="Arial" w:eastAsia="Arial" w:hAnsi="Arial"/>
          <w:sz w:val="15"/>
          <w:szCs w:val="15"/>
          <w:color w:val="auto"/>
        </w:rPr>
        <w:t>Autodesk recognized no realized gains for both the three months ended April 30, 2023 and 2022 on the disposition of strategic investment equity securities.</w:t>
      </w:r>
    </w:p>
    <w:p>
      <w:pPr>
        <w:spacing w:after="0" w:line="179"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Fair Value</w:t>
      </w:r>
    </w:p>
    <w:p>
      <w:pPr>
        <w:spacing w:after="0" w:line="232" w:lineRule="exact"/>
        <w:rPr>
          <w:sz w:val="20"/>
          <w:szCs w:val="20"/>
          <w:color w:val="auto"/>
        </w:rPr>
      </w:pPr>
    </w:p>
    <w:p>
      <w:pPr>
        <w:jc w:val="both"/>
        <w:ind w:right="320" w:firstLine="351"/>
        <w:spacing w:after="0" w:line="257" w:lineRule="auto"/>
        <w:rPr>
          <w:sz w:val="20"/>
          <w:szCs w:val="20"/>
          <w:color w:val="auto"/>
        </w:rPr>
      </w:pPr>
      <w:r>
        <w:rPr>
          <w:rFonts w:ascii="Arial" w:cs="Arial" w:eastAsia="Arial" w:hAnsi="Arial"/>
          <w:sz w:val="15"/>
          <w:szCs w:val="15"/>
          <w:color w:val="auto"/>
        </w:rPr>
        <w:t>Autodesk applies fair value accounting for certain financial assets and liabilities, which consist of cash equivalents, marketable securities, and other financial instruments, on a recurring basis. The Company defines fair value as the price that would be received from selling an asset or paid to transfer a liability in an orderly transaction between market participants at the measurement date.</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0" w:right="680" w:bottom="1440" w:gutter="0" w:footer="0" w:header="0"/>
        </w:sectPr>
      </w:pPr>
    </w:p>
    <w:bookmarkStart w:id="13" w:name="page14"/>
    <w:bookmarkEnd w:id="13"/>
    <w:p>
      <w:pPr>
        <w:ind w:left="360"/>
        <w:spacing w:after="0"/>
        <w:rPr>
          <w:sz w:val="20"/>
          <w:szCs w:val="20"/>
          <w:color w:val="auto"/>
        </w:rPr>
      </w:pPr>
      <w:r>
        <w:rPr>
          <w:rFonts w:ascii="Arial" w:cs="Arial" w:eastAsia="Arial" w:hAnsi="Arial"/>
          <w:sz w:val="15"/>
          <w:szCs w:val="15"/>
          <w:color w:val="auto"/>
        </w:rPr>
        <w:t>The following tables summarize the Company's financial instruments measured at fair value on a recurring basis by significant investment category as of</w:t>
      </w:r>
    </w:p>
    <w:p>
      <w:pPr>
        <w:spacing w:after="0" w:line="13" w:lineRule="exact"/>
        <w:rPr>
          <w:sz w:val="20"/>
          <w:szCs w:val="20"/>
          <w:color w:val="auto"/>
        </w:rPr>
      </w:pPr>
    </w:p>
    <w:p>
      <w:pPr>
        <w:spacing w:after="0"/>
        <w:rPr>
          <w:sz w:val="20"/>
          <w:szCs w:val="20"/>
          <w:color w:val="auto"/>
        </w:rPr>
      </w:pPr>
      <w:r>
        <w:rPr>
          <w:rFonts w:ascii="Arial" w:cs="Arial" w:eastAsia="Arial" w:hAnsi="Arial"/>
          <w:sz w:val="15"/>
          <w:szCs w:val="15"/>
          <w:color w:val="auto"/>
        </w:rPr>
        <w:t>April 30, 2023, and January 31, 2023:</w:t>
      </w:r>
    </w:p>
    <w:p>
      <w:pPr>
        <w:spacing w:after="0" w:line="2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5360" w:type="dxa"/>
            <w:vAlign w:val="bottom"/>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1320" w:type="dxa"/>
            <w:vAlign w:val="bottom"/>
            <w:tcBorders>
              <w:bottom w:val="single" w:sz="8" w:color="auto"/>
            </w:tcBorders>
            <w:gridSpan w:val="3"/>
          </w:tcPr>
          <w:p>
            <w:pPr>
              <w:jc w:val="right"/>
              <w:ind w:right="20"/>
              <w:spacing w:after="0"/>
              <w:rPr>
                <w:sz w:val="20"/>
                <w:szCs w:val="20"/>
                <w:color w:val="auto"/>
              </w:rPr>
            </w:pPr>
            <w:r>
              <w:rPr>
                <w:rFonts w:ascii="Arial" w:cs="Arial" w:eastAsia="Arial" w:hAnsi="Arial"/>
                <w:sz w:val="13"/>
                <w:szCs w:val="13"/>
                <w:b w:val="1"/>
                <w:bCs w:val="1"/>
                <w:color w:val="auto"/>
              </w:rPr>
              <w:t>April 30, 2023</w:t>
            </w:r>
          </w:p>
        </w:tc>
        <w:tc>
          <w:tcPr>
            <w:tcW w:w="6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56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r>
      <w:tr>
        <w:trPr>
          <w:trHeight w:val="167"/>
        </w:trPr>
        <w:tc>
          <w:tcPr>
            <w:tcW w:w="5360" w:type="dxa"/>
            <w:vAlign w:val="bottom"/>
            <w:tcBorders>
              <w:bottom w:val="single" w:sz="8" w:color="CCEEFF"/>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jc w:val="right"/>
              <w:ind w:right="130"/>
              <w:spacing w:after="0"/>
              <w:rPr>
                <w:sz w:val="20"/>
                <w:szCs w:val="20"/>
                <w:color w:val="auto"/>
              </w:rPr>
            </w:pPr>
            <w:r>
              <w:rPr>
                <w:rFonts w:ascii="Arial" w:cs="Arial" w:eastAsia="Arial" w:hAnsi="Arial"/>
                <w:sz w:val="13"/>
                <w:szCs w:val="13"/>
                <w:b w:val="1"/>
                <w:bCs w:val="1"/>
                <w:color w:val="auto"/>
              </w:rPr>
              <w:t>Level 1</w:t>
            </w:r>
          </w:p>
        </w:tc>
        <w:tc>
          <w:tcPr>
            <w:tcW w:w="100" w:type="dxa"/>
            <w:vAlign w:val="bottom"/>
            <w:tcBorders>
              <w:bottom w:val="single" w:sz="8" w:color="CCEEFF"/>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720" w:type="dxa"/>
            <w:vAlign w:val="bottom"/>
            <w:tcBorders>
              <w:bottom w:val="single" w:sz="8" w:color="auto"/>
            </w:tcBorders>
          </w:tcPr>
          <w:p>
            <w:pPr>
              <w:jc w:val="right"/>
              <w:ind w:right="150"/>
              <w:spacing w:after="0"/>
              <w:rPr>
                <w:sz w:val="20"/>
                <w:szCs w:val="20"/>
                <w:color w:val="auto"/>
              </w:rPr>
            </w:pPr>
            <w:r>
              <w:rPr>
                <w:rFonts w:ascii="Arial" w:cs="Arial" w:eastAsia="Arial" w:hAnsi="Arial"/>
                <w:sz w:val="13"/>
                <w:szCs w:val="13"/>
                <w:b w:val="1"/>
                <w:bCs w:val="1"/>
                <w:color w:val="auto"/>
              </w:rPr>
              <w:t>Level 2</w:t>
            </w:r>
          </w:p>
        </w:tc>
        <w:tc>
          <w:tcPr>
            <w:tcW w:w="80" w:type="dxa"/>
            <w:vAlign w:val="bottom"/>
            <w:tcBorders>
              <w:bottom w:val="single" w:sz="8" w:color="CCEEFF"/>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660" w:type="dxa"/>
            <w:vAlign w:val="bottom"/>
            <w:tcBorders>
              <w:bottom w:val="single" w:sz="8" w:color="auto"/>
            </w:tcBorders>
          </w:tcPr>
          <w:p>
            <w:pPr>
              <w:jc w:val="right"/>
              <w:ind w:right="130"/>
              <w:spacing w:after="0"/>
              <w:rPr>
                <w:sz w:val="20"/>
                <w:szCs w:val="20"/>
                <w:color w:val="auto"/>
              </w:rPr>
            </w:pPr>
            <w:r>
              <w:rPr>
                <w:rFonts w:ascii="Arial" w:cs="Arial" w:eastAsia="Arial" w:hAnsi="Arial"/>
                <w:sz w:val="13"/>
                <w:szCs w:val="13"/>
                <w:b w:val="1"/>
                <w:bCs w:val="1"/>
                <w:color w:val="auto"/>
                <w:w w:val="99"/>
              </w:rPr>
              <w:t>Level 3</w:t>
            </w:r>
          </w:p>
        </w:tc>
        <w:tc>
          <w:tcPr>
            <w:tcW w:w="80" w:type="dxa"/>
            <w:vAlign w:val="bottom"/>
            <w:tcBorders>
              <w:bottom w:val="single" w:sz="8" w:color="CCEEFF"/>
            </w:tcBorders>
          </w:tcPr>
          <w:p>
            <w:pPr>
              <w:spacing w:after="0"/>
              <w:rPr>
                <w:sz w:val="14"/>
                <w:szCs w:val="14"/>
                <w:color w:val="auto"/>
              </w:rPr>
            </w:pPr>
          </w:p>
        </w:tc>
        <w:tc>
          <w:tcPr>
            <w:tcW w:w="56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jc w:val="right"/>
              <w:ind w:right="230"/>
              <w:spacing w:after="0"/>
              <w:rPr>
                <w:sz w:val="20"/>
                <w:szCs w:val="20"/>
                <w:color w:val="auto"/>
              </w:rPr>
            </w:pPr>
            <w:r>
              <w:rPr>
                <w:rFonts w:ascii="Arial" w:cs="Arial" w:eastAsia="Arial" w:hAnsi="Arial"/>
                <w:sz w:val="13"/>
                <w:szCs w:val="13"/>
                <w:b w:val="1"/>
                <w:bCs w:val="1"/>
                <w:color w:val="auto"/>
              </w:rPr>
              <w:t>Total</w:t>
            </w:r>
          </w:p>
        </w:tc>
      </w:tr>
      <w:tr>
        <w:trPr>
          <w:trHeight w:val="167"/>
        </w:trPr>
        <w:tc>
          <w:tcPr>
            <w:tcW w:w="5360" w:type="dxa"/>
            <w:vAlign w:val="bottom"/>
            <w:shd w:val="clear" w:color="auto" w:fill="CCEEFF"/>
          </w:tcPr>
          <w:p>
            <w:pPr>
              <w:ind w:left="360"/>
              <w:spacing w:after="0"/>
              <w:rPr>
                <w:sz w:val="20"/>
                <w:szCs w:val="20"/>
                <w:color w:val="auto"/>
              </w:rPr>
            </w:pPr>
            <w:r>
              <w:rPr>
                <w:rFonts w:ascii="Arial" w:cs="Arial" w:eastAsia="Arial" w:hAnsi="Arial"/>
                <w:sz w:val="14"/>
                <w:szCs w:val="14"/>
                <w:color w:val="auto"/>
              </w:rPr>
              <w:t>Assets:</w:t>
            </w:r>
          </w:p>
        </w:tc>
        <w:tc>
          <w:tcPr>
            <w:tcW w:w="100" w:type="dxa"/>
            <w:vAlign w:val="bottom"/>
            <w:shd w:val="clear" w:color="auto" w:fill="CCEEFF"/>
          </w:tcPr>
          <w:p>
            <w:pPr>
              <w:spacing w:after="0"/>
              <w:rPr>
                <w:sz w:val="14"/>
                <w:szCs w:val="14"/>
                <w:color w:val="auto"/>
              </w:rPr>
            </w:pPr>
          </w:p>
        </w:tc>
        <w:tc>
          <w:tcPr>
            <w:tcW w:w="500" w:type="dxa"/>
            <w:vAlign w:val="bottom"/>
            <w:shd w:val="clear" w:color="auto" w:fill="CCEEFF"/>
          </w:tcPr>
          <w:p>
            <w:pPr>
              <w:spacing w:after="0"/>
              <w:rPr>
                <w:sz w:val="14"/>
                <w:szCs w:val="14"/>
                <w:color w:val="auto"/>
              </w:rPr>
            </w:pPr>
          </w:p>
        </w:tc>
        <w:tc>
          <w:tcPr>
            <w:tcW w:w="70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500" w:type="dxa"/>
            <w:vAlign w:val="bottom"/>
            <w:shd w:val="clear" w:color="auto" w:fill="CCEEFF"/>
          </w:tcPr>
          <w:p>
            <w:pPr>
              <w:spacing w:after="0"/>
              <w:rPr>
                <w:sz w:val="14"/>
                <w:szCs w:val="14"/>
                <w:color w:val="auto"/>
              </w:rPr>
            </w:pPr>
          </w:p>
        </w:tc>
        <w:tc>
          <w:tcPr>
            <w:tcW w:w="7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20" w:type="dxa"/>
            <w:vAlign w:val="bottom"/>
            <w:shd w:val="clear" w:color="auto" w:fill="CCEEFF"/>
          </w:tcPr>
          <w:p>
            <w:pPr>
              <w:spacing w:after="0"/>
              <w:rPr>
                <w:sz w:val="14"/>
                <w:szCs w:val="14"/>
                <w:color w:val="auto"/>
              </w:rPr>
            </w:pPr>
          </w:p>
        </w:tc>
        <w:tc>
          <w:tcPr>
            <w:tcW w:w="66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60" w:type="dxa"/>
            <w:vAlign w:val="bottom"/>
            <w:shd w:val="clear" w:color="auto" w:fill="CCEEFF"/>
          </w:tcPr>
          <w:p>
            <w:pPr>
              <w:spacing w:after="0"/>
              <w:rPr>
                <w:sz w:val="14"/>
                <w:szCs w:val="14"/>
                <w:color w:val="auto"/>
              </w:rPr>
            </w:pPr>
          </w:p>
        </w:tc>
        <w:tc>
          <w:tcPr>
            <w:tcW w:w="700" w:type="dxa"/>
            <w:vAlign w:val="bottom"/>
            <w:shd w:val="clear" w:color="auto" w:fill="CCEEFF"/>
          </w:tcPr>
          <w:p>
            <w:pPr>
              <w:spacing w:after="0"/>
              <w:rPr>
                <w:sz w:val="14"/>
                <w:szCs w:val="14"/>
                <w:color w:val="auto"/>
              </w:rPr>
            </w:pPr>
          </w:p>
        </w:tc>
      </w:tr>
      <w:tr>
        <w:trPr>
          <w:trHeight w:val="185"/>
        </w:trPr>
        <w:tc>
          <w:tcPr>
            <w:tcW w:w="5360" w:type="dxa"/>
            <w:vAlign w:val="bottom"/>
          </w:tcPr>
          <w:p>
            <w:pPr>
              <w:ind w:left="460"/>
              <w:spacing w:after="0"/>
              <w:rPr>
                <w:sz w:val="20"/>
                <w:szCs w:val="20"/>
                <w:color w:val="auto"/>
              </w:rPr>
            </w:pPr>
            <w:r>
              <w:rPr>
                <w:rFonts w:ascii="Arial" w:cs="Arial" w:eastAsia="Arial" w:hAnsi="Arial"/>
                <w:sz w:val="14"/>
                <w:szCs w:val="14"/>
                <w:color w:val="auto"/>
              </w:rPr>
              <w:t>Cash equivalents (1):</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5360" w:type="dxa"/>
            <w:vAlign w:val="bottom"/>
            <w:shd w:val="clear" w:color="auto" w:fill="CCEEFF"/>
          </w:tcPr>
          <w:p>
            <w:pPr>
              <w:ind w:left="640"/>
              <w:spacing w:after="0"/>
              <w:rPr>
                <w:sz w:val="20"/>
                <w:szCs w:val="20"/>
                <w:color w:val="auto"/>
              </w:rPr>
            </w:pPr>
            <w:r>
              <w:rPr>
                <w:rFonts w:ascii="Arial" w:cs="Arial" w:eastAsia="Arial" w:hAnsi="Arial"/>
                <w:sz w:val="14"/>
                <w:szCs w:val="14"/>
                <w:color w:val="auto"/>
              </w:rPr>
              <w:t>Money market funds</w:t>
            </w:r>
          </w:p>
        </w:tc>
        <w:tc>
          <w:tcPr>
            <w:tcW w:w="60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576</w:t>
            </w:r>
          </w:p>
        </w:tc>
        <w:tc>
          <w:tcPr>
            <w:tcW w:w="60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600" w:type="dxa"/>
            <w:vAlign w:val="bottom"/>
            <w:gridSpan w:val="2"/>
            <w:shd w:val="clear" w:color="auto" w:fill="CCEEFF"/>
          </w:tcPr>
          <w:p>
            <w:pPr>
              <w:jc w:val="right"/>
              <w:ind w:right="80"/>
              <w:spacing w:after="0"/>
              <w:rPr>
                <w:sz w:val="20"/>
                <w:szCs w:val="20"/>
                <w:color w:val="auto"/>
              </w:rPr>
            </w:pPr>
            <w:r>
              <w:rPr>
                <w:rFonts w:ascii="Arial" w:cs="Arial" w:eastAsia="Arial" w:hAnsi="Arial"/>
                <w:sz w:val="14"/>
                <w:szCs w:val="14"/>
                <w:color w:val="auto"/>
              </w:rPr>
              <w:t>$</w:t>
            </w: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640" w:type="dxa"/>
            <w:vAlign w:val="bottom"/>
            <w:gridSpan w:val="2"/>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576</w:t>
            </w:r>
          </w:p>
        </w:tc>
      </w:tr>
      <w:tr>
        <w:trPr>
          <w:trHeight w:val="185"/>
        </w:trPr>
        <w:tc>
          <w:tcPr>
            <w:tcW w:w="5360" w:type="dxa"/>
            <w:vAlign w:val="bottom"/>
          </w:tcPr>
          <w:p>
            <w:pPr>
              <w:ind w:left="640"/>
              <w:spacing w:after="0"/>
              <w:rPr>
                <w:sz w:val="20"/>
                <w:szCs w:val="20"/>
                <w:color w:val="auto"/>
              </w:rPr>
            </w:pPr>
            <w:r>
              <w:rPr>
                <w:rFonts w:ascii="Arial" w:cs="Arial" w:eastAsia="Arial" w:hAnsi="Arial"/>
                <w:sz w:val="14"/>
                <w:szCs w:val="14"/>
                <w:color w:val="auto"/>
              </w:rPr>
              <w:t>Commercial paper</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203</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203</w:t>
            </w:r>
          </w:p>
        </w:tc>
      </w:tr>
      <w:tr>
        <w:trPr>
          <w:trHeight w:val="190"/>
        </w:trPr>
        <w:tc>
          <w:tcPr>
            <w:tcW w:w="5360" w:type="dxa"/>
            <w:vAlign w:val="bottom"/>
            <w:shd w:val="clear" w:color="auto" w:fill="CCEEFF"/>
          </w:tcPr>
          <w:p>
            <w:pPr>
              <w:ind w:left="640"/>
              <w:spacing w:after="0"/>
              <w:rPr>
                <w:sz w:val="20"/>
                <w:szCs w:val="20"/>
                <w:color w:val="auto"/>
              </w:rPr>
            </w:pPr>
            <w:r>
              <w:rPr>
                <w:rFonts w:ascii="Arial" w:cs="Arial" w:eastAsia="Arial" w:hAnsi="Arial"/>
                <w:sz w:val="14"/>
                <w:szCs w:val="14"/>
                <w:color w:val="auto"/>
              </w:rPr>
              <w:t>Certificates of deposit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137</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137</w:t>
            </w:r>
          </w:p>
        </w:tc>
      </w:tr>
      <w:tr>
        <w:trPr>
          <w:trHeight w:val="185"/>
        </w:trPr>
        <w:tc>
          <w:tcPr>
            <w:tcW w:w="5360" w:type="dxa"/>
            <w:vAlign w:val="bottom"/>
          </w:tcPr>
          <w:p>
            <w:pPr>
              <w:ind w:left="640"/>
              <w:spacing w:after="0"/>
              <w:rPr>
                <w:sz w:val="20"/>
                <w:szCs w:val="20"/>
                <w:color w:val="auto"/>
              </w:rPr>
            </w:pPr>
            <w:r>
              <w:rPr>
                <w:rFonts w:ascii="Arial" w:cs="Arial" w:eastAsia="Arial" w:hAnsi="Arial"/>
                <w:sz w:val="14"/>
                <w:szCs w:val="14"/>
                <w:color w:val="auto"/>
              </w:rPr>
              <w:t>Other (2)</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20</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20</w:t>
            </w:r>
          </w:p>
        </w:tc>
      </w:tr>
      <w:tr>
        <w:trPr>
          <w:trHeight w:val="190"/>
        </w:trPr>
        <w:tc>
          <w:tcPr>
            <w:tcW w:w="5360" w:type="dxa"/>
            <w:vAlign w:val="bottom"/>
            <w:shd w:val="clear" w:color="auto" w:fill="CCEEFF"/>
          </w:tcPr>
          <w:p>
            <w:pPr>
              <w:ind w:left="460"/>
              <w:spacing w:after="0"/>
              <w:rPr>
                <w:sz w:val="20"/>
                <w:szCs w:val="20"/>
                <w:color w:val="auto"/>
              </w:rPr>
            </w:pPr>
            <w:r>
              <w:rPr>
                <w:rFonts w:ascii="Arial" w:cs="Arial" w:eastAsia="Arial" w:hAnsi="Arial"/>
                <w:sz w:val="14"/>
                <w:szCs w:val="14"/>
                <w:color w:val="auto"/>
              </w:rPr>
              <w:t>Marketable securities:</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5360" w:type="dxa"/>
            <w:vAlign w:val="bottom"/>
          </w:tcPr>
          <w:p>
            <w:pPr>
              <w:ind w:left="560"/>
              <w:spacing w:after="0"/>
              <w:rPr>
                <w:sz w:val="20"/>
                <w:szCs w:val="20"/>
                <w:color w:val="auto"/>
              </w:rPr>
            </w:pPr>
            <w:r>
              <w:rPr>
                <w:rFonts w:ascii="Arial" w:cs="Arial" w:eastAsia="Arial" w:hAnsi="Arial"/>
                <w:sz w:val="14"/>
                <w:szCs w:val="14"/>
                <w:color w:val="auto"/>
              </w:rPr>
              <w:t>Short-term</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Commercial paper</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120</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120</w:t>
            </w:r>
          </w:p>
        </w:tc>
      </w:tr>
      <w:tr>
        <w:trPr>
          <w:trHeight w:val="185"/>
        </w:trPr>
        <w:tc>
          <w:tcPr>
            <w:tcW w:w="5360" w:type="dxa"/>
            <w:vAlign w:val="bottom"/>
          </w:tcPr>
          <w:p>
            <w:pPr>
              <w:ind w:left="740"/>
              <w:spacing w:after="0"/>
              <w:rPr>
                <w:sz w:val="20"/>
                <w:szCs w:val="20"/>
                <w:color w:val="auto"/>
              </w:rPr>
            </w:pPr>
            <w:r>
              <w:rPr>
                <w:rFonts w:ascii="Arial" w:cs="Arial" w:eastAsia="Arial" w:hAnsi="Arial"/>
                <w:sz w:val="14"/>
                <w:szCs w:val="14"/>
                <w:color w:val="auto"/>
              </w:rPr>
              <w:t>Corporate debt securities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40</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40</w:t>
            </w: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U.S. government securities</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33</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33</w:t>
            </w:r>
          </w:p>
        </w:tc>
      </w:tr>
      <w:tr>
        <w:trPr>
          <w:trHeight w:val="185"/>
        </w:trPr>
        <w:tc>
          <w:tcPr>
            <w:tcW w:w="5360" w:type="dxa"/>
            <w:vAlign w:val="bottom"/>
          </w:tcPr>
          <w:p>
            <w:pPr>
              <w:ind w:left="740"/>
              <w:spacing w:after="0"/>
              <w:rPr>
                <w:sz w:val="20"/>
                <w:szCs w:val="20"/>
                <w:color w:val="auto"/>
              </w:rPr>
            </w:pPr>
            <w:r>
              <w:rPr>
                <w:rFonts w:ascii="Arial" w:cs="Arial" w:eastAsia="Arial" w:hAnsi="Arial"/>
                <w:sz w:val="14"/>
                <w:szCs w:val="14"/>
                <w:color w:val="auto"/>
              </w:rPr>
              <w:t>Asset-backed securities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21</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21</w:t>
            </w: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Other (3)</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w:t>
            </w:r>
          </w:p>
        </w:tc>
      </w:tr>
      <w:tr>
        <w:trPr>
          <w:trHeight w:val="185"/>
        </w:trPr>
        <w:tc>
          <w:tcPr>
            <w:tcW w:w="5360" w:type="dxa"/>
            <w:vAlign w:val="bottom"/>
          </w:tcPr>
          <w:p>
            <w:pPr>
              <w:ind w:left="560"/>
              <w:spacing w:after="0"/>
              <w:rPr>
                <w:sz w:val="20"/>
                <w:szCs w:val="20"/>
                <w:color w:val="auto"/>
              </w:rPr>
            </w:pPr>
            <w:r>
              <w:rPr>
                <w:rFonts w:ascii="Arial" w:cs="Arial" w:eastAsia="Arial" w:hAnsi="Arial"/>
                <w:sz w:val="14"/>
                <w:szCs w:val="14"/>
                <w:color w:val="auto"/>
              </w:rPr>
              <w:t>Long-term</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Corporate debt securities</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74</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74</w:t>
            </w:r>
          </w:p>
        </w:tc>
      </w:tr>
      <w:tr>
        <w:trPr>
          <w:trHeight w:val="185"/>
        </w:trPr>
        <w:tc>
          <w:tcPr>
            <w:tcW w:w="5360" w:type="dxa"/>
            <w:vAlign w:val="bottom"/>
          </w:tcPr>
          <w:p>
            <w:pPr>
              <w:ind w:left="740"/>
              <w:spacing w:after="0"/>
              <w:rPr>
                <w:sz w:val="20"/>
                <w:szCs w:val="20"/>
                <w:color w:val="auto"/>
              </w:rPr>
            </w:pPr>
            <w:r>
              <w:rPr>
                <w:rFonts w:ascii="Arial" w:cs="Arial" w:eastAsia="Arial" w:hAnsi="Arial"/>
                <w:sz w:val="14"/>
                <w:szCs w:val="14"/>
                <w:color w:val="auto"/>
              </w:rPr>
              <w:t>U.S. government securities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55</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55</w:t>
            </w: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Asset-backed securities</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22</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22</w:t>
            </w:r>
          </w:p>
        </w:tc>
      </w:tr>
      <w:tr>
        <w:trPr>
          <w:trHeight w:val="185"/>
        </w:trPr>
        <w:tc>
          <w:tcPr>
            <w:tcW w:w="5360" w:type="dxa"/>
            <w:vAlign w:val="bottom"/>
          </w:tcPr>
          <w:p>
            <w:pPr>
              <w:ind w:left="740"/>
              <w:spacing w:after="0"/>
              <w:rPr>
                <w:sz w:val="20"/>
                <w:szCs w:val="20"/>
                <w:color w:val="auto"/>
              </w:rPr>
            </w:pPr>
            <w:r>
              <w:rPr>
                <w:rFonts w:ascii="Arial" w:cs="Arial" w:eastAsia="Arial" w:hAnsi="Arial"/>
                <w:sz w:val="14"/>
                <w:szCs w:val="14"/>
                <w:color w:val="auto"/>
              </w:rPr>
              <w:t>Agency mortgage backed securities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19</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19</w:t>
            </w:r>
          </w:p>
        </w:tc>
      </w:tr>
      <w:tr>
        <w:trPr>
          <w:trHeight w:val="190"/>
        </w:trPr>
        <w:tc>
          <w:tcPr>
            <w:tcW w:w="5360" w:type="dxa"/>
            <w:vAlign w:val="bottom"/>
            <w:shd w:val="clear" w:color="auto" w:fill="CCEEFF"/>
          </w:tcPr>
          <w:p>
            <w:pPr>
              <w:ind w:left="740"/>
              <w:spacing w:after="0"/>
              <w:rPr>
                <w:sz w:val="20"/>
                <w:szCs w:val="20"/>
                <w:color w:val="auto"/>
              </w:rPr>
            </w:pPr>
            <w:r>
              <w:rPr>
                <w:rFonts w:ascii="Arial" w:cs="Arial" w:eastAsia="Arial" w:hAnsi="Arial"/>
                <w:sz w:val="14"/>
                <w:szCs w:val="14"/>
                <w:color w:val="auto"/>
              </w:rPr>
              <w:t>Other (4)</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15</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15</w:t>
            </w:r>
          </w:p>
        </w:tc>
      </w:tr>
      <w:tr>
        <w:trPr>
          <w:trHeight w:val="185"/>
        </w:trPr>
        <w:tc>
          <w:tcPr>
            <w:tcW w:w="5360" w:type="dxa"/>
            <w:vAlign w:val="bottom"/>
          </w:tcPr>
          <w:p>
            <w:pPr>
              <w:ind w:left="460"/>
              <w:spacing w:after="0"/>
              <w:rPr>
                <w:sz w:val="20"/>
                <w:szCs w:val="20"/>
                <w:color w:val="auto"/>
              </w:rPr>
            </w:pPr>
            <w:r>
              <w:rPr>
                <w:rFonts w:ascii="Arial" w:cs="Arial" w:eastAsia="Arial" w:hAnsi="Arial"/>
                <w:sz w:val="14"/>
                <w:szCs w:val="14"/>
                <w:color w:val="auto"/>
              </w:rPr>
              <w:t>Long-term other assets: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5360" w:type="dxa"/>
            <w:vAlign w:val="bottom"/>
            <w:shd w:val="clear" w:color="auto" w:fill="CCEEFF"/>
          </w:tcPr>
          <w:p>
            <w:pPr>
              <w:ind w:left="560"/>
              <w:spacing w:after="0"/>
              <w:rPr>
                <w:sz w:val="20"/>
                <w:szCs w:val="20"/>
                <w:color w:val="auto"/>
              </w:rPr>
            </w:pPr>
            <w:r>
              <w:rPr>
                <w:rFonts w:ascii="Arial" w:cs="Arial" w:eastAsia="Arial" w:hAnsi="Arial"/>
                <w:sz w:val="14"/>
                <w:szCs w:val="14"/>
                <w:color w:val="auto"/>
              </w:rPr>
              <w:t>Mutual funds (5)(6)</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90</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90</w:t>
            </w:r>
          </w:p>
        </w:tc>
      </w:tr>
      <w:tr>
        <w:trPr>
          <w:trHeight w:val="185"/>
        </w:trPr>
        <w:tc>
          <w:tcPr>
            <w:tcW w:w="5360" w:type="dxa"/>
            <w:vAlign w:val="bottom"/>
          </w:tcPr>
          <w:p>
            <w:pPr>
              <w:ind w:left="560"/>
              <w:spacing w:after="0"/>
              <w:rPr>
                <w:sz w:val="20"/>
                <w:szCs w:val="20"/>
                <w:color w:val="auto"/>
              </w:rPr>
            </w:pPr>
            <w:r>
              <w:rPr>
                <w:rFonts w:ascii="Arial" w:cs="Arial" w:eastAsia="Arial" w:hAnsi="Arial"/>
                <w:sz w:val="14"/>
                <w:szCs w:val="14"/>
                <w:color w:val="auto"/>
              </w:rPr>
              <w:t>Convertible debt securities (6)</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2</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2</w:t>
            </w:r>
          </w:p>
        </w:tc>
      </w:tr>
      <w:tr>
        <w:trPr>
          <w:trHeight w:val="190"/>
        </w:trPr>
        <w:tc>
          <w:tcPr>
            <w:tcW w:w="5360" w:type="dxa"/>
            <w:vAlign w:val="bottom"/>
            <w:shd w:val="clear" w:color="auto" w:fill="CCEEFF"/>
          </w:tcPr>
          <w:p>
            <w:pPr>
              <w:ind w:left="360"/>
              <w:spacing w:after="0"/>
              <w:rPr>
                <w:sz w:val="20"/>
                <w:szCs w:val="20"/>
                <w:color w:val="auto"/>
              </w:rPr>
            </w:pPr>
            <w:r>
              <w:rPr>
                <w:rFonts w:ascii="Arial" w:cs="Arial" w:eastAsia="Arial" w:hAnsi="Arial"/>
                <w:sz w:val="14"/>
                <w:szCs w:val="14"/>
                <w:color w:val="auto"/>
              </w:rPr>
              <w:t>Derivative assets:</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5360" w:type="dxa"/>
            <w:vAlign w:val="bottom"/>
          </w:tcPr>
          <w:p>
            <w:pPr>
              <w:ind w:left="560"/>
              <w:spacing w:after="0"/>
              <w:rPr>
                <w:sz w:val="20"/>
                <w:szCs w:val="20"/>
                <w:color w:val="auto"/>
              </w:rPr>
            </w:pPr>
            <w:r>
              <w:rPr>
                <w:rFonts w:ascii="Arial" w:cs="Arial" w:eastAsia="Arial" w:hAnsi="Arial"/>
                <w:sz w:val="14"/>
                <w:szCs w:val="14"/>
                <w:color w:val="auto"/>
              </w:rPr>
              <w:t>Derivative contract assets (6)</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14</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14</w:t>
            </w:r>
          </w:p>
        </w:tc>
      </w:tr>
      <w:tr>
        <w:trPr>
          <w:trHeight w:val="190"/>
        </w:trPr>
        <w:tc>
          <w:tcPr>
            <w:tcW w:w="5360" w:type="dxa"/>
            <w:vAlign w:val="bottom"/>
            <w:shd w:val="clear" w:color="auto" w:fill="CCEEFF"/>
          </w:tcPr>
          <w:p>
            <w:pPr>
              <w:ind w:left="560"/>
              <w:spacing w:after="0"/>
              <w:rPr>
                <w:sz w:val="20"/>
                <w:szCs w:val="20"/>
                <w:color w:val="auto"/>
              </w:rPr>
            </w:pPr>
            <w:r>
              <w:rPr>
                <w:rFonts w:ascii="Arial" w:cs="Arial" w:eastAsia="Arial" w:hAnsi="Arial"/>
                <w:sz w:val="14"/>
                <w:szCs w:val="14"/>
                <w:color w:val="auto"/>
              </w:rPr>
              <w:t>Strategic investments derivative assets (6)</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80" w:type="dxa"/>
            <w:vAlign w:val="bottom"/>
            <w:shd w:val="clear" w:color="auto" w:fill="CCEEFF"/>
          </w:tcPr>
          <w:p>
            <w:pPr>
              <w:spacing w:after="0"/>
              <w:rPr>
                <w:sz w:val="16"/>
                <w:szCs w:val="16"/>
                <w:color w:val="auto"/>
              </w:rPr>
            </w:pPr>
          </w:p>
        </w:tc>
        <w:tc>
          <w:tcPr>
            <w:tcW w:w="56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w:t>
            </w:r>
          </w:p>
        </w:tc>
      </w:tr>
      <w:tr>
        <w:trPr>
          <w:trHeight w:val="185"/>
        </w:trPr>
        <w:tc>
          <w:tcPr>
            <w:tcW w:w="5360" w:type="dxa"/>
            <w:vAlign w:val="bottom"/>
          </w:tcPr>
          <w:p>
            <w:pPr>
              <w:ind w:left="360"/>
              <w:spacing w:after="0"/>
              <w:rPr>
                <w:sz w:val="20"/>
                <w:szCs w:val="20"/>
                <w:color w:val="auto"/>
              </w:rPr>
            </w:pPr>
            <w:r>
              <w:rPr>
                <w:rFonts w:ascii="Arial" w:cs="Arial" w:eastAsia="Arial" w:hAnsi="Arial"/>
                <w:sz w:val="14"/>
                <w:szCs w:val="14"/>
                <w:color w:val="auto"/>
              </w:rPr>
              <w:t>Derivative liabilities:</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87"/>
        </w:trPr>
        <w:tc>
          <w:tcPr>
            <w:tcW w:w="5360" w:type="dxa"/>
            <w:vAlign w:val="bottom"/>
            <w:shd w:val="clear" w:color="auto" w:fill="CCEEFF"/>
          </w:tcPr>
          <w:p>
            <w:pPr>
              <w:ind w:left="560"/>
              <w:spacing w:after="0"/>
              <w:rPr>
                <w:sz w:val="20"/>
                <w:szCs w:val="20"/>
                <w:color w:val="auto"/>
              </w:rPr>
            </w:pPr>
            <w:r>
              <w:rPr>
                <w:rFonts w:ascii="Arial" w:cs="Arial" w:eastAsia="Arial" w:hAnsi="Arial"/>
                <w:sz w:val="14"/>
                <w:szCs w:val="14"/>
                <w:color w:val="auto"/>
              </w:rPr>
              <w:t>Derivative contract liabilities (7)</w:t>
            </w:r>
          </w:p>
        </w:tc>
        <w:tc>
          <w:tcPr>
            <w:tcW w:w="100" w:type="dxa"/>
            <w:vAlign w:val="bottom"/>
            <w:shd w:val="clear" w:color="auto" w:fill="CCEEFF"/>
          </w:tcPr>
          <w:p>
            <w:pPr>
              <w:spacing w:after="0"/>
              <w:rPr>
                <w:sz w:val="16"/>
                <w:szCs w:val="16"/>
                <w:color w:val="auto"/>
              </w:rPr>
            </w:pPr>
          </w:p>
        </w:tc>
        <w:tc>
          <w:tcPr>
            <w:tcW w:w="500" w:type="dxa"/>
            <w:vAlign w:val="bottom"/>
            <w:tcBorders>
              <w:bottom w:val="single" w:sz="8" w:color="auto"/>
            </w:tcBorders>
            <w:shd w:val="clear" w:color="auto" w:fill="CCEEFF"/>
          </w:tcPr>
          <w:p>
            <w:pPr>
              <w:spacing w:after="0"/>
              <w:rPr>
                <w:sz w:val="16"/>
                <w:szCs w:val="16"/>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500" w:type="dxa"/>
            <w:vAlign w:val="bottom"/>
            <w:tcBorders>
              <w:bottom w:val="single" w:sz="8" w:color="auto"/>
            </w:tcBorders>
            <w:shd w:val="clear" w:color="auto" w:fill="CCEEFF"/>
          </w:tcPr>
          <w:p>
            <w:pPr>
              <w:spacing w:after="0"/>
              <w:rPr>
                <w:sz w:val="16"/>
                <w:szCs w:val="16"/>
                <w:color w:val="auto"/>
              </w:rPr>
            </w:pPr>
          </w:p>
        </w:tc>
        <w:tc>
          <w:tcPr>
            <w:tcW w:w="7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(17)</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6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60" w:type="dxa"/>
            <w:vAlign w:val="bottom"/>
            <w:tcBorders>
              <w:bottom w:val="single" w:sz="8" w:color="auto"/>
            </w:tcBorders>
            <w:shd w:val="clear" w:color="auto" w:fill="CCEEFF"/>
          </w:tcPr>
          <w:p>
            <w:pPr>
              <w:spacing w:after="0"/>
              <w:rPr>
                <w:sz w:val="16"/>
                <w:szCs w:val="16"/>
                <w:color w:val="auto"/>
              </w:rPr>
            </w:pPr>
          </w:p>
        </w:tc>
        <w:tc>
          <w:tcPr>
            <w:tcW w:w="7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(17)</w:t>
            </w:r>
          </w:p>
        </w:tc>
      </w:tr>
      <w:tr>
        <w:trPr>
          <w:trHeight w:val="182"/>
        </w:trPr>
        <w:tc>
          <w:tcPr>
            <w:tcW w:w="5360" w:type="dxa"/>
            <w:vAlign w:val="bottom"/>
          </w:tcPr>
          <w:p>
            <w:pPr>
              <w:ind w:left="360"/>
              <w:spacing w:after="0"/>
              <w:rPr>
                <w:sz w:val="20"/>
                <w:szCs w:val="20"/>
                <w:color w:val="auto"/>
              </w:rPr>
            </w:pPr>
            <w:r>
              <w:rPr>
                <w:rFonts w:ascii="Arial" w:cs="Arial" w:eastAsia="Arial" w:hAnsi="Arial"/>
                <w:sz w:val="14"/>
                <w:szCs w:val="14"/>
                <w:color w:val="auto"/>
              </w:rPr>
              <w:t>Total</w:t>
            </w:r>
          </w:p>
        </w:tc>
        <w:tc>
          <w:tcPr>
            <w:tcW w:w="60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700" w:type="dxa"/>
            <w:vAlign w:val="bottom"/>
          </w:tcPr>
          <w:p>
            <w:pPr>
              <w:jc w:val="right"/>
              <w:spacing w:after="0"/>
              <w:rPr>
                <w:sz w:val="20"/>
                <w:szCs w:val="20"/>
                <w:color w:val="auto"/>
              </w:rPr>
            </w:pPr>
            <w:r>
              <w:rPr>
                <w:rFonts w:ascii="Arial" w:cs="Arial" w:eastAsia="Arial" w:hAnsi="Arial"/>
                <w:sz w:val="14"/>
                <w:szCs w:val="14"/>
                <w:color w:val="auto"/>
              </w:rPr>
              <w:t>666</w:t>
            </w:r>
          </w:p>
        </w:tc>
        <w:tc>
          <w:tcPr>
            <w:tcW w:w="60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tcPr>
          <w:p>
            <w:pPr>
              <w:jc w:val="right"/>
              <w:spacing w:after="0"/>
              <w:rPr>
                <w:sz w:val="20"/>
                <w:szCs w:val="20"/>
                <w:color w:val="auto"/>
              </w:rPr>
            </w:pPr>
            <w:r>
              <w:rPr>
                <w:rFonts w:ascii="Arial" w:cs="Arial" w:eastAsia="Arial" w:hAnsi="Arial"/>
                <w:sz w:val="14"/>
                <w:szCs w:val="14"/>
                <w:color w:val="auto"/>
              </w:rPr>
              <w:t>764</w:t>
            </w:r>
          </w:p>
        </w:tc>
        <w:tc>
          <w:tcPr>
            <w:tcW w:w="600" w:type="dxa"/>
            <w:vAlign w:val="bottom"/>
            <w:gridSpan w:val="2"/>
          </w:tcPr>
          <w:p>
            <w:pPr>
              <w:jc w:val="right"/>
              <w:ind w:right="80"/>
              <w:spacing w:after="0"/>
              <w:rPr>
                <w:sz w:val="20"/>
                <w:szCs w:val="20"/>
                <w:color w:val="auto"/>
              </w:rPr>
            </w:pPr>
            <w:r>
              <w:rPr>
                <w:rFonts w:ascii="Arial" w:cs="Arial" w:eastAsia="Arial" w:hAnsi="Arial"/>
                <w:sz w:val="14"/>
                <w:szCs w:val="14"/>
                <w:color w:val="auto"/>
              </w:rPr>
              <w:t>$</w:t>
            </w:r>
          </w:p>
        </w:tc>
        <w:tc>
          <w:tcPr>
            <w:tcW w:w="660" w:type="dxa"/>
            <w:vAlign w:val="bottom"/>
          </w:tcPr>
          <w:p>
            <w:pPr>
              <w:jc w:val="right"/>
              <w:spacing w:after="0"/>
              <w:rPr>
                <w:sz w:val="20"/>
                <w:szCs w:val="20"/>
                <w:color w:val="auto"/>
              </w:rPr>
            </w:pPr>
            <w:r>
              <w:rPr>
                <w:rFonts w:ascii="Arial" w:cs="Arial" w:eastAsia="Arial" w:hAnsi="Arial"/>
                <w:sz w:val="14"/>
                <w:szCs w:val="14"/>
                <w:color w:val="auto"/>
              </w:rPr>
              <w:t>3</w:t>
            </w:r>
          </w:p>
        </w:tc>
        <w:tc>
          <w:tcPr>
            <w:tcW w:w="640" w:type="dxa"/>
            <w:vAlign w:val="bottom"/>
            <w:gridSpan w:val="2"/>
          </w:tcPr>
          <w:p>
            <w:pPr>
              <w:jc w:val="right"/>
              <w:ind w:right="100"/>
              <w:spacing w:after="0"/>
              <w:rPr>
                <w:sz w:val="20"/>
                <w:szCs w:val="20"/>
                <w:color w:val="auto"/>
              </w:rPr>
            </w:pPr>
            <w:r>
              <w:rPr>
                <w:rFonts w:ascii="Arial" w:cs="Arial" w:eastAsia="Arial" w:hAnsi="Arial"/>
                <w:sz w:val="14"/>
                <w:szCs w:val="14"/>
                <w:color w:val="auto"/>
              </w:rPr>
              <w:t>$</w:t>
            </w:r>
          </w:p>
        </w:tc>
        <w:tc>
          <w:tcPr>
            <w:tcW w:w="700" w:type="dxa"/>
            <w:vAlign w:val="bottom"/>
          </w:tcPr>
          <w:p>
            <w:pPr>
              <w:jc w:val="right"/>
              <w:spacing w:after="0"/>
              <w:rPr>
                <w:sz w:val="20"/>
                <w:szCs w:val="20"/>
                <w:color w:val="auto"/>
              </w:rPr>
            </w:pPr>
            <w:r>
              <w:rPr>
                <w:rFonts w:ascii="Arial" w:cs="Arial" w:eastAsia="Arial" w:hAnsi="Arial"/>
                <w:sz w:val="14"/>
                <w:szCs w:val="14"/>
                <w:color w:val="auto"/>
              </w:rPr>
              <w:t>1,433</w:t>
            </w:r>
          </w:p>
        </w:tc>
      </w:tr>
      <w:tr>
        <w:trPr>
          <w:trHeight w:val="20"/>
        </w:trPr>
        <w:tc>
          <w:tcPr>
            <w:tcW w:w="53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r>
    </w:tbl>
    <w:p>
      <w:pPr>
        <w:spacing w:after="0" w:line="63"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Included in “Cash and cash equivalents” in the accompanying Condensed Consolidated Balance Sheets. These investments are classified as debt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Agency discount notes, sovereign bonds, mortgage-backed securities, municipal bonds, and asset-backed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Consists of mortgage-backed securities, agency discount notes, and agency mortgage-backed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Consists of agency bonds, agency collateralized mortgage obligations, mortgage-backed securities, and collateralized mortgage obligations.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See Note 11, “Deferred Compensation” for more information.</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Included in “Prepaid expenses and other current assets” or “Long-term other assets” in the accompanying Condensed Consolidated Balance Sheets.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6"/>
        </w:numPr>
        <w:rPr>
          <w:rFonts w:ascii="Arial" w:cs="Arial" w:eastAsia="Arial" w:hAnsi="Arial"/>
          <w:sz w:val="14"/>
          <w:szCs w:val="14"/>
          <w:color w:val="auto"/>
        </w:rPr>
      </w:pPr>
      <w:r>
        <w:rPr>
          <w:rFonts w:ascii="Arial" w:cs="Arial" w:eastAsia="Arial" w:hAnsi="Arial"/>
          <w:sz w:val="14"/>
          <w:szCs w:val="14"/>
          <w:color w:val="auto"/>
        </w:rPr>
        <w:t>Included in “Other accrued liabilities” in the accompanying Condensed Consolidated Balance Sheets.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14" w:name="page15"/>
    <w:bookmarkEnd w:id="14"/>
    <w:tbl>
      <w:tblPr>
        <w:tblLayout w:type="fixed"/>
        <w:tblInd w:w="0" w:type="dxa"/>
        <w:tblCellMar>
          <w:top w:w="0" w:type="dxa"/>
          <w:left w:w="0" w:type="dxa"/>
          <w:bottom w:w="0" w:type="dxa"/>
          <w:right w:w="0" w:type="dxa"/>
        </w:tblCellMar>
      </w:tblPr>
      <w:tr>
        <w:trPr>
          <w:trHeight w:val="179"/>
        </w:trPr>
        <w:tc>
          <w:tcPr>
            <w:tcW w:w="6780" w:type="dxa"/>
            <w:vAlign w:val="bottom"/>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680" w:type="dxa"/>
            <w:vAlign w:val="bottom"/>
            <w:tcBorders>
              <w:bottom w:val="single" w:sz="8" w:color="auto"/>
            </w:tcBorders>
            <w:gridSpan w:val="4"/>
          </w:tcPr>
          <w:p>
            <w:pPr>
              <w:jc w:val="right"/>
              <w:ind w:right="310"/>
              <w:spacing w:after="0"/>
              <w:rPr>
                <w:sz w:val="20"/>
                <w:szCs w:val="20"/>
                <w:color w:val="auto"/>
              </w:rPr>
            </w:pPr>
            <w:r>
              <w:rPr>
                <w:rFonts w:ascii="Arial" w:cs="Arial" w:eastAsia="Arial" w:hAnsi="Arial"/>
                <w:sz w:val="13"/>
                <w:szCs w:val="13"/>
                <w:b w:val="1"/>
                <w:bCs w:val="1"/>
                <w:color w:val="auto"/>
              </w:rPr>
              <w:t>January 31, 2023</w:t>
            </w:r>
          </w:p>
        </w:tc>
        <w:tc>
          <w:tcPr>
            <w:tcW w:w="100" w:type="dxa"/>
            <w:vAlign w:val="bottom"/>
            <w:tcBorders>
              <w:bottom w:val="single" w:sz="8" w:color="auto"/>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r>
      <w:tr>
        <w:trPr>
          <w:trHeight w:val="167"/>
        </w:trPr>
        <w:tc>
          <w:tcPr>
            <w:tcW w:w="678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20" w:type="dxa"/>
            <w:vAlign w:val="bottom"/>
            <w:tcBorders>
              <w:bottom w:val="single" w:sz="8" w:color="auto"/>
            </w:tcBorders>
          </w:tcPr>
          <w:p>
            <w:pPr>
              <w:jc w:val="right"/>
              <w:ind w:right="150"/>
              <w:spacing w:after="0"/>
              <w:rPr>
                <w:sz w:val="20"/>
                <w:szCs w:val="20"/>
                <w:color w:val="auto"/>
              </w:rPr>
            </w:pPr>
            <w:r>
              <w:rPr>
                <w:rFonts w:ascii="Arial" w:cs="Arial" w:eastAsia="Arial" w:hAnsi="Arial"/>
                <w:sz w:val="13"/>
                <w:szCs w:val="13"/>
                <w:b w:val="1"/>
                <w:bCs w:val="1"/>
                <w:color w:val="auto"/>
              </w:rPr>
              <w:t>Level 1</w:t>
            </w:r>
          </w:p>
        </w:tc>
        <w:tc>
          <w:tcPr>
            <w:tcW w:w="8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20" w:type="dxa"/>
            <w:vAlign w:val="bottom"/>
            <w:tcBorders>
              <w:bottom w:val="single" w:sz="8" w:color="auto"/>
            </w:tcBorders>
          </w:tcPr>
          <w:p>
            <w:pPr>
              <w:jc w:val="right"/>
              <w:ind w:right="150"/>
              <w:spacing w:after="0"/>
              <w:rPr>
                <w:sz w:val="20"/>
                <w:szCs w:val="20"/>
                <w:color w:val="auto"/>
              </w:rPr>
            </w:pPr>
            <w:r>
              <w:rPr>
                <w:rFonts w:ascii="Arial" w:cs="Arial" w:eastAsia="Arial" w:hAnsi="Arial"/>
                <w:sz w:val="13"/>
                <w:szCs w:val="13"/>
                <w:b w:val="1"/>
                <w:bCs w:val="1"/>
                <w:color w:val="auto"/>
              </w:rPr>
              <w:t>Level 2</w:t>
            </w:r>
          </w:p>
        </w:tc>
        <w:tc>
          <w:tcPr>
            <w:tcW w:w="8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20" w:type="dxa"/>
            <w:vAlign w:val="bottom"/>
            <w:tcBorders>
              <w:bottom w:val="single" w:sz="8" w:color="auto"/>
            </w:tcBorders>
          </w:tcPr>
          <w:p>
            <w:pPr>
              <w:jc w:val="right"/>
              <w:ind w:right="150"/>
              <w:spacing w:after="0"/>
              <w:rPr>
                <w:sz w:val="20"/>
                <w:szCs w:val="20"/>
                <w:color w:val="auto"/>
              </w:rPr>
            </w:pPr>
            <w:r>
              <w:rPr>
                <w:rFonts w:ascii="Arial" w:cs="Arial" w:eastAsia="Arial" w:hAnsi="Arial"/>
                <w:sz w:val="13"/>
                <w:szCs w:val="13"/>
                <w:b w:val="1"/>
                <w:bCs w:val="1"/>
                <w:color w:val="auto"/>
              </w:rPr>
              <w:t>Level 3</w:t>
            </w:r>
          </w:p>
        </w:tc>
        <w:tc>
          <w:tcPr>
            <w:tcW w:w="100" w:type="dxa"/>
            <w:vAlign w:val="bottom"/>
            <w:tcBorders>
              <w:bottom w:val="single" w:sz="8" w:color="CCEEFF"/>
            </w:tcBorders>
          </w:tcPr>
          <w:p>
            <w:pPr>
              <w:spacing w:after="0"/>
              <w:rPr>
                <w:sz w:val="14"/>
                <w:szCs w:val="14"/>
                <w:color w:val="auto"/>
              </w:rPr>
            </w:pPr>
          </w:p>
        </w:tc>
        <w:tc>
          <w:tcPr>
            <w:tcW w:w="20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jc w:val="right"/>
              <w:ind w:right="230"/>
              <w:spacing w:after="0"/>
              <w:rPr>
                <w:sz w:val="20"/>
                <w:szCs w:val="20"/>
                <w:color w:val="auto"/>
              </w:rPr>
            </w:pPr>
            <w:r>
              <w:rPr>
                <w:rFonts w:ascii="Arial" w:cs="Arial" w:eastAsia="Arial" w:hAnsi="Arial"/>
                <w:sz w:val="13"/>
                <w:szCs w:val="13"/>
                <w:b w:val="1"/>
                <w:bCs w:val="1"/>
                <w:color w:val="auto"/>
              </w:rPr>
              <w:t>Total</w:t>
            </w:r>
          </w:p>
        </w:tc>
      </w:tr>
      <w:tr>
        <w:trPr>
          <w:trHeight w:val="167"/>
        </w:trPr>
        <w:tc>
          <w:tcPr>
            <w:tcW w:w="6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Assets:</w:t>
            </w:r>
          </w:p>
        </w:tc>
        <w:tc>
          <w:tcPr>
            <w:tcW w:w="160" w:type="dxa"/>
            <w:vAlign w:val="bottom"/>
            <w:shd w:val="clear" w:color="auto" w:fill="CCEEFF"/>
          </w:tcPr>
          <w:p>
            <w:pPr>
              <w:spacing w:after="0"/>
              <w:rPr>
                <w:sz w:val="14"/>
                <w:szCs w:val="14"/>
                <w:color w:val="auto"/>
              </w:rPr>
            </w:pPr>
          </w:p>
        </w:tc>
        <w:tc>
          <w:tcPr>
            <w:tcW w:w="7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7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160" w:type="dxa"/>
            <w:vAlign w:val="bottom"/>
            <w:shd w:val="clear" w:color="auto" w:fill="CCEEFF"/>
          </w:tcPr>
          <w:p>
            <w:pPr>
              <w:spacing w:after="0"/>
              <w:rPr>
                <w:sz w:val="14"/>
                <w:szCs w:val="14"/>
                <w:color w:val="auto"/>
              </w:rPr>
            </w:pPr>
          </w:p>
        </w:tc>
        <w:tc>
          <w:tcPr>
            <w:tcW w:w="72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700" w:type="dxa"/>
            <w:vAlign w:val="bottom"/>
            <w:shd w:val="clear" w:color="auto" w:fill="CCEEFF"/>
          </w:tcPr>
          <w:p>
            <w:pPr>
              <w:spacing w:after="0"/>
              <w:rPr>
                <w:sz w:val="14"/>
                <w:szCs w:val="14"/>
                <w:color w:val="auto"/>
              </w:rPr>
            </w:pPr>
          </w:p>
        </w:tc>
      </w:tr>
      <w:tr>
        <w:trPr>
          <w:trHeight w:val="185"/>
        </w:trPr>
        <w:tc>
          <w:tcPr>
            <w:tcW w:w="6780" w:type="dxa"/>
            <w:vAlign w:val="bottom"/>
          </w:tcPr>
          <w:p>
            <w:pPr>
              <w:ind w:left="100"/>
              <w:spacing w:after="0"/>
              <w:rPr>
                <w:sz w:val="20"/>
                <w:szCs w:val="20"/>
                <w:color w:val="auto"/>
              </w:rPr>
            </w:pPr>
            <w:r>
              <w:rPr>
                <w:rFonts w:ascii="Arial" w:cs="Arial" w:eastAsia="Arial" w:hAnsi="Arial"/>
                <w:sz w:val="14"/>
                <w:szCs w:val="14"/>
                <w:color w:val="auto"/>
              </w:rPr>
              <w:t>Cash equivalents (1):</w:t>
            </w: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67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Money market funds</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737</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300" w:type="dxa"/>
            <w:vAlign w:val="bottom"/>
            <w:gridSpan w:val="2"/>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737</w:t>
            </w:r>
          </w:p>
        </w:tc>
      </w:tr>
      <w:tr>
        <w:trPr>
          <w:trHeight w:val="185"/>
        </w:trPr>
        <w:tc>
          <w:tcPr>
            <w:tcW w:w="6780" w:type="dxa"/>
            <w:vAlign w:val="bottom"/>
          </w:tcPr>
          <w:p>
            <w:pPr>
              <w:ind w:left="300"/>
              <w:spacing w:after="0"/>
              <w:rPr>
                <w:sz w:val="20"/>
                <w:szCs w:val="20"/>
                <w:color w:val="auto"/>
              </w:rPr>
            </w:pPr>
            <w:r>
              <w:rPr>
                <w:rFonts w:ascii="Arial" w:cs="Arial" w:eastAsia="Arial" w:hAnsi="Arial"/>
                <w:sz w:val="14"/>
                <w:szCs w:val="14"/>
                <w:color w:val="auto"/>
              </w:rPr>
              <w:t>Commercial paper</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169</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spacing w:after="0"/>
              <w:rPr>
                <w:sz w:val="20"/>
                <w:szCs w:val="20"/>
                <w:color w:val="auto"/>
              </w:rPr>
            </w:pPr>
            <w:r>
              <w:rPr>
                <w:rFonts w:ascii="Arial" w:cs="Arial" w:eastAsia="Arial" w:hAnsi="Arial"/>
                <w:sz w:val="14"/>
                <w:szCs w:val="14"/>
                <w:color w:val="auto"/>
              </w:rPr>
              <w:t>169</w:t>
            </w:r>
          </w:p>
        </w:tc>
      </w:tr>
      <w:tr>
        <w:trPr>
          <w:trHeight w:val="190"/>
        </w:trPr>
        <w:tc>
          <w:tcPr>
            <w:tcW w:w="67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Certificates of deposit</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35</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35</w:t>
            </w:r>
          </w:p>
        </w:tc>
      </w:tr>
      <w:tr>
        <w:trPr>
          <w:trHeight w:val="185"/>
        </w:trPr>
        <w:tc>
          <w:tcPr>
            <w:tcW w:w="6780" w:type="dxa"/>
            <w:vAlign w:val="bottom"/>
          </w:tcPr>
          <w:p>
            <w:pPr>
              <w:ind w:left="300"/>
              <w:spacing w:after="0"/>
              <w:rPr>
                <w:sz w:val="20"/>
                <w:szCs w:val="20"/>
                <w:color w:val="auto"/>
              </w:rPr>
            </w:pPr>
            <w:r>
              <w:rPr>
                <w:rFonts w:ascii="Arial" w:cs="Arial" w:eastAsia="Arial" w:hAnsi="Arial"/>
                <w:sz w:val="14"/>
                <w:szCs w:val="14"/>
                <w:color w:val="auto"/>
              </w:rPr>
              <w:t>U.S government securities</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13</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13</w:t>
            </w:r>
          </w:p>
        </w:tc>
      </w:tr>
      <w:tr>
        <w:trPr>
          <w:trHeight w:val="190"/>
        </w:trPr>
        <w:tc>
          <w:tcPr>
            <w:tcW w:w="6780" w:type="dxa"/>
            <w:vAlign w:val="bottom"/>
            <w:shd w:val="clear" w:color="auto" w:fill="CCEEFF"/>
          </w:tcPr>
          <w:p>
            <w:pPr>
              <w:ind w:left="300"/>
              <w:spacing w:after="0"/>
              <w:rPr>
                <w:sz w:val="20"/>
                <w:szCs w:val="20"/>
                <w:color w:val="auto"/>
              </w:rPr>
            </w:pPr>
            <w:r>
              <w:rPr>
                <w:rFonts w:ascii="Arial" w:cs="Arial" w:eastAsia="Arial" w:hAnsi="Arial"/>
                <w:sz w:val="14"/>
                <w:szCs w:val="14"/>
                <w:color w:val="auto"/>
              </w:rPr>
              <w:t>Other (2)</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12</w:t>
            </w:r>
          </w:p>
        </w:tc>
      </w:tr>
      <w:tr>
        <w:trPr>
          <w:trHeight w:val="185"/>
        </w:trPr>
        <w:tc>
          <w:tcPr>
            <w:tcW w:w="6780" w:type="dxa"/>
            <w:vAlign w:val="bottom"/>
          </w:tcPr>
          <w:p>
            <w:pPr>
              <w:ind w:left="100"/>
              <w:spacing w:after="0"/>
              <w:rPr>
                <w:sz w:val="20"/>
                <w:szCs w:val="20"/>
                <w:color w:val="auto"/>
              </w:rPr>
            </w:pPr>
            <w:r>
              <w:rPr>
                <w:rFonts w:ascii="Arial" w:cs="Arial" w:eastAsia="Arial" w:hAnsi="Arial"/>
                <w:sz w:val="14"/>
                <w:szCs w:val="14"/>
                <w:color w:val="auto"/>
              </w:rPr>
              <w:t>Marketable securities:</w:t>
            </w: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6780" w:type="dxa"/>
            <w:vAlign w:val="bottom"/>
            <w:shd w:val="clear" w:color="auto" w:fill="CCEEFF"/>
          </w:tcPr>
          <w:p>
            <w:pPr>
              <w:ind w:left="200"/>
              <w:spacing w:after="0"/>
              <w:rPr>
                <w:sz w:val="20"/>
                <w:szCs w:val="20"/>
                <w:color w:val="auto"/>
              </w:rPr>
            </w:pPr>
            <w:r>
              <w:rPr>
                <w:rFonts w:ascii="Arial" w:cs="Arial" w:eastAsia="Arial" w:hAnsi="Arial"/>
                <w:sz w:val="14"/>
                <w:szCs w:val="14"/>
                <w:color w:val="auto"/>
              </w:rPr>
              <w:t>Short-term</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Corporate debt securities</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44</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44</w:t>
            </w:r>
          </w:p>
        </w:tc>
      </w:tr>
      <w:tr>
        <w:trPr>
          <w:trHeight w:val="190"/>
        </w:trPr>
        <w:tc>
          <w:tcPr>
            <w:tcW w:w="6780" w:type="dxa"/>
            <w:vAlign w:val="bottom"/>
            <w:shd w:val="clear" w:color="auto" w:fill="CCEEFF"/>
          </w:tcPr>
          <w:p>
            <w:pPr>
              <w:ind w:left="400"/>
              <w:spacing w:after="0"/>
              <w:rPr>
                <w:sz w:val="20"/>
                <w:szCs w:val="20"/>
                <w:color w:val="auto"/>
              </w:rPr>
            </w:pPr>
            <w:r>
              <w:rPr>
                <w:rFonts w:ascii="Arial" w:cs="Arial" w:eastAsia="Arial" w:hAnsi="Arial"/>
                <w:sz w:val="14"/>
                <w:szCs w:val="14"/>
                <w:color w:val="auto"/>
              </w:rPr>
              <w:t>Commercial paper</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42</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42</w:t>
            </w: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Asset backed securities</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19</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19</w:t>
            </w:r>
          </w:p>
        </w:tc>
      </w:tr>
      <w:tr>
        <w:trPr>
          <w:trHeight w:val="190"/>
        </w:trPr>
        <w:tc>
          <w:tcPr>
            <w:tcW w:w="6780" w:type="dxa"/>
            <w:vAlign w:val="bottom"/>
            <w:shd w:val="clear" w:color="auto" w:fill="CCEEFF"/>
          </w:tcPr>
          <w:p>
            <w:pPr>
              <w:ind w:left="400"/>
              <w:spacing w:after="0"/>
              <w:rPr>
                <w:sz w:val="20"/>
                <w:szCs w:val="20"/>
                <w:color w:val="auto"/>
              </w:rPr>
            </w:pPr>
            <w:r>
              <w:rPr>
                <w:rFonts w:ascii="Arial" w:cs="Arial" w:eastAsia="Arial" w:hAnsi="Arial"/>
                <w:sz w:val="14"/>
                <w:szCs w:val="14"/>
                <w:color w:val="auto"/>
              </w:rPr>
              <w:t>U.S. government securities</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17</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17</w:t>
            </w: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Other (3)</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3</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3</w:t>
            </w:r>
          </w:p>
        </w:tc>
      </w:tr>
      <w:tr>
        <w:trPr>
          <w:trHeight w:val="190"/>
        </w:trPr>
        <w:tc>
          <w:tcPr>
            <w:tcW w:w="6780" w:type="dxa"/>
            <w:vAlign w:val="bottom"/>
            <w:shd w:val="clear" w:color="auto" w:fill="CCEEFF"/>
          </w:tcPr>
          <w:p>
            <w:pPr>
              <w:ind w:left="200"/>
              <w:spacing w:after="0"/>
              <w:rPr>
                <w:sz w:val="20"/>
                <w:szCs w:val="20"/>
                <w:color w:val="auto"/>
              </w:rPr>
            </w:pPr>
            <w:r>
              <w:rPr>
                <w:rFonts w:ascii="Arial" w:cs="Arial" w:eastAsia="Arial" w:hAnsi="Arial"/>
                <w:sz w:val="14"/>
                <w:szCs w:val="14"/>
                <w:color w:val="auto"/>
              </w:rPr>
              <w:t>Long-term</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Corporate debt securities</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45</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45</w:t>
            </w:r>
          </w:p>
        </w:tc>
      </w:tr>
      <w:tr>
        <w:trPr>
          <w:trHeight w:val="190"/>
        </w:trPr>
        <w:tc>
          <w:tcPr>
            <w:tcW w:w="6780" w:type="dxa"/>
            <w:vAlign w:val="bottom"/>
            <w:shd w:val="clear" w:color="auto" w:fill="CCEEFF"/>
          </w:tcPr>
          <w:p>
            <w:pPr>
              <w:ind w:left="400"/>
              <w:spacing w:after="0"/>
              <w:rPr>
                <w:sz w:val="20"/>
                <w:szCs w:val="20"/>
                <w:color w:val="auto"/>
              </w:rPr>
            </w:pPr>
            <w:r>
              <w:rPr>
                <w:rFonts w:ascii="Arial" w:cs="Arial" w:eastAsia="Arial" w:hAnsi="Arial"/>
                <w:sz w:val="14"/>
                <w:szCs w:val="14"/>
                <w:color w:val="auto"/>
              </w:rPr>
              <w:t>U.S. government securities</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35</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35</w:t>
            </w: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Asset backed securities</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13</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13</w:t>
            </w:r>
          </w:p>
        </w:tc>
      </w:tr>
      <w:tr>
        <w:trPr>
          <w:trHeight w:val="190"/>
        </w:trPr>
        <w:tc>
          <w:tcPr>
            <w:tcW w:w="6780" w:type="dxa"/>
            <w:vAlign w:val="bottom"/>
            <w:shd w:val="clear" w:color="auto" w:fill="CCEEFF"/>
          </w:tcPr>
          <w:p>
            <w:pPr>
              <w:ind w:left="400"/>
              <w:spacing w:after="0"/>
              <w:rPr>
                <w:sz w:val="20"/>
                <w:szCs w:val="20"/>
                <w:color w:val="auto"/>
              </w:rPr>
            </w:pPr>
            <w:r>
              <w:rPr>
                <w:rFonts w:ascii="Arial" w:cs="Arial" w:eastAsia="Arial" w:hAnsi="Arial"/>
                <w:sz w:val="14"/>
                <w:szCs w:val="14"/>
                <w:color w:val="auto"/>
              </w:rPr>
              <w:t>Other (4)</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9</w:t>
            </w:r>
          </w:p>
        </w:tc>
      </w:tr>
      <w:tr>
        <w:trPr>
          <w:trHeight w:val="185"/>
        </w:trPr>
        <w:tc>
          <w:tcPr>
            <w:tcW w:w="6780" w:type="dxa"/>
            <w:vAlign w:val="bottom"/>
          </w:tcPr>
          <w:p>
            <w:pPr>
              <w:ind w:left="200"/>
              <w:spacing w:after="0"/>
              <w:rPr>
                <w:sz w:val="20"/>
                <w:szCs w:val="20"/>
                <w:color w:val="auto"/>
              </w:rPr>
            </w:pPr>
            <w:r>
              <w:rPr>
                <w:rFonts w:ascii="Arial" w:cs="Arial" w:eastAsia="Arial" w:hAnsi="Arial"/>
                <w:sz w:val="14"/>
                <w:szCs w:val="14"/>
                <w:color w:val="auto"/>
              </w:rPr>
              <w:t>Long-term other assets:</w:t>
            </w: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spacing w:after="0"/>
              <w:rPr>
                <w:sz w:val="16"/>
                <w:szCs w:val="16"/>
                <w:color w:val="auto"/>
              </w:rPr>
            </w:pPr>
          </w:p>
        </w:tc>
      </w:tr>
      <w:tr>
        <w:trPr>
          <w:trHeight w:val="190"/>
        </w:trPr>
        <w:tc>
          <w:tcPr>
            <w:tcW w:w="6780" w:type="dxa"/>
            <w:vAlign w:val="bottom"/>
            <w:shd w:val="clear" w:color="auto" w:fill="CCEEFF"/>
          </w:tcPr>
          <w:p>
            <w:pPr>
              <w:ind w:left="400"/>
              <w:spacing w:after="0"/>
              <w:rPr>
                <w:sz w:val="20"/>
                <w:szCs w:val="20"/>
                <w:color w:val="auto"/>
              </w:rPr>
            </w:pPr>
            <w:r>
              <w:rPr>
                <w:rFonts w:ascii="Arial" w:cs="Arial" w:eastAsia="Arial" w:hAnsi="Arial"/>
                <w:sz w:val="14"/>
                <w:szCs w:val="14"/>
                <w:color w:val="auto"/>
              </w:rPr>
              <w:t>Mutual funds (5) (6)</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86</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86</w:t>
            </w:r>
          </w:p>
        </w:tc>
      </w:tr>
      <w:tr>
        <w:trPr>
          <w:trHeight w:val="185"/>
        </w:trPr>
        <w:tc>
          <w:tcPr>
            <w:tcW w:w="6780" w:type="dxa"/>
            <w:vAlign w:val="bottom"/>
          </w:tcPr>
          <w:p>
            <w:pPr>
              <w:ind w:left="400"/>
              <w:spacing w:after="0"/>
              <w:rPr>
                <w:sz w:val="20"/>
                <w:szCs w:val="20"/>
                <w:color w:val="auto"/>
              </w:rPr>
            </w:pPr>
            <w:r>
              <w:rPr>
                <w:rFonts w:ascii="Arial" w:cs="Arial" w:eastAsia="Arial" w:hAnsi="Arial"/>
                <w:sz w:val="14"/>
                <w:szCs w:val="14"/>
                <w:color w:val="auto"/>
              </w:rPr>
              <w:t>Convertible debt securities (6)</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2</w:t>
            </w:r>
          </w:p>
        </w:tc>
      </w:tr>
      <w:tr>
        <w:trPr>
          <w:trHeight w:val="190"/>
        </w:trPr>
        <w:tc>
          <w:tcPr>
            <w:tcW w:w="6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Derivative assets:</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6780" w:type="dxa"/>
            <w:vAlign w:val="bottom"/>
          </w:tcPr>
          <w:p>
            <w:pPr>
              <w:ind w:left="200"/>
              <w:spacing w:after="0"/>
              <w:rPr>
                <w:sz w:val="20"/>
                <w:szCs w:val="20"/>
                <w:color w:val="auto"/>
              </w:rPr>
            </w:pPr>
            <w:r>
              <w:rPr>
                <w:rFonts w:ascii="Arial" w:cs="Arial" w:eastAsia="Arial" w:hAnsi="Arial"/>
                <w:sz w:val="14"/>
                <w:szCs w:val="14"/>
                <w:color w:val="auto"/>
              </w:rPr>
              <w:t>Derivative contract assets (6)</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ind w:right="10"/>
              <w:spacing w:after="0"/>
              <w:rPr>
                <w:sz w:val="20"/>
                <w:szCs w:val="20"/>
                <w:color w:val="auto"/>
              </w:rPr>
            </w:pPr>
            <w:r>
              <w:rPr>
                <w:rFonts w:ascii="Arial" w:cs="Arial" w:eastAsia="Arial" w:hAnsi="Arial"/>
                <w:sz w:val="14"/>
                <w:szCs w:val="14"/>
                <w:color w:val="auto"/>
              </w:rPr>
              <w:t>14</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jc w:val="right"/>
              <w:ind w:right="10"/>
              <w:spacing w:after="0"/>
              <w:rPr>
                <w:sz w:val="20"/>
                <w:szCs w:val="20"/>
                <w:color w:val="auto"/>
              </w:rPr>
            </w:pPr>
            <w:r>
              <w:rPr>
                <w:rFonts w:ascii="Arial" w:cs="Arial" w:eastAsia="Arial" w:hAnsi="Arial"/>
                <w:sz w:val="14"/>
                <w:szCs w:val="14"/>
                <w:color w:val="auto"/>
              </w:rPr>
              <w:t>14</w:t>
            </w:r>
          </w:p>
        </w:tc>
      </w:tr>
      <w:tr>
        <w:trPr>
          <w:trHeight w:val="190"/>
        </w:trPr>
        <w:tc>
          <w:tcPr>
            <w:tcW w:w="6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Derivative liabilities:</w:t>
            </w: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00" w:type="dxa"/>
            <w:vAlign w:val="bottom"/>
            <w:shd w:val="clear" w:color="auto" w:fill="CCEEFF"/>
          </w:tcPr>
          <w:p>
            <w:pPr>
              <w:spacing w:after="0"/>
              <w:rPr>
                <w:sz w:val="16"/>
                <w:szCs w:val="16"/>
                <w:color w:val="auto"/>
              </w:rPr>
            </w:pPr>
          </w:p>
        </w:tc>
      </w:tr>
      <w:tr>
        <w:trPr>
          <w:trHeight w:val="185"/>
        </w:trPr>
        <w:tc>
          <w:tcPr>
            <w:tcW w:w="6780" w:type="dxa"/>
            <w:vAlign w:val="bottom"/>
            <w:tcBorders>
              <w:bottom w:val="single" w:sz="8" w:color="CCEEFF"/>
            </w:tcBorders>
          </w:tcPr>
          <w:p>
            <w:pPr>
              <w:ind w:left="200"/>
              <w:spacing w:after="0"/>
              <w:rPr>
                <w:sz w:val="20"/>
                <w:szCs w:val="20"/>
                <w:color w:val="auto"/>
              </w:rPr>
            </w:pPr>
            <w:r>
              <w:rPr>
                <w:rFonts w:ascii="Arial" w:cs="Arial" w:eastAsia="Arial" w:hAnsi="Arial"/>
                <w:sz w:val="14"/>
                <w:szCs w:val="14"/>
                <w:color w:val="auto"/>
              </w:rPr>
              <w:t>Derivative contract liabilities (7)</w:t>
            </w:r>
          </w:p>
        </w:tc>
        <w:tc>
          <w:tcPr>
            <w:tcW w:w="16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w:t>
            </w:r>
          </w:p>
        </w:tc>
        <w:tc>
          <w:tcPr>
            <w:tcW w:w="80" w:type="dxa"/>
            <w:vAlign w:val="bottom"/>
            <w:tcBorders>
              <w:bottom w:val="single" w:sz="8" w:color="CCEEFF"/>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(31)</w:t>
            </w:r>
          </w:p>
        </w:tc>
        <w:tc>
          <w:tcPr>
            <w:tcW w:w="80" w:type="dxa"/>
            <w:vAlign w:val="bottom"/>
            <w:tcBorders>
              <w:bottom w:val="single" w:sz="8" w:color="CCEEFF"/>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(31)</w:t>
            </w:r>
          </w:p>
        </w:tc>
      </w:tr>
      <w:tr>
        <w:trPr>
          <w:trHeight w:val="202"/>
        </w:trPr>
        <w:tc>
          <w:tcPr>
            <w:tcW w:w="6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827</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435</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300" w:type="dxa"/>
            <w:vAlign w:val="bottom"/>
            <w:gridSpan w:val="2"/>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1,264</w:t>
            </w:r>
          </w:p>
        </w:tc>
      </w:tr>
      <w:tr>
        <w:trPr>
          <w:trHeight w:val="20"/>
        </w:trPr>
        <w:tc>
          <w:tcPr>
            <w:tcW w:w="6780" w:type="dxa"/>
            <w:vAlign w:val="bottom"/>
            <w:tcBorders>
              <w:top w:val="single" w:sz="8" w:color="CCEEFF"/>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r>
    </w:tbl>
    <w:p>
      <w:pPr>
        <w:spacing w:after="0" w:line="63"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Included in “Cash and cash equivalents” in the accompanying Condensed Consolidated Balance Sheets. These investments are classified as debt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Consists of custody cash deposits, agency discount notes, municipal bonds, corporate debt securities, asset-backed securities, and mortgage-backed securities.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Consists of mortgage-backed securities, agency mortgage-backed securities, common stock, and agency collateralized mortgage obligations.</w:t>
      </w:r>
    </w:p>
    <w:p>
      <w:pPr>
        <w:spacing w:after="0" w:line="3" w:lineRule="exact"/>
        <w:rPr>
          <w:rFonts w:ascii="Arial" w:cs="Arial" w:eastAsia="Arial" w:hAnsi="Arial"/>
          <w:sz w:val="14"/>
          <w:szCs w:val="14"/>
          <w:color w:val="auto"/>
        </w:rPr>
      </w:pPr>
    </w:p>
    <w:p>
      <w:pPr>
        <w:ind w:left="360" w:right="600" w:hanging="356"/>
        <w:spacing w:after="0" w:line="244" w:lineRule="auto"/>
        <w:tabs>
          <w:tab w:leader="none" w:pos="372" w:val="left"/>
        </w:tabs>
        <w:numPr>
          <w:ilvl w:val="0"/>
          <w:numId w:val="7"/>
        </w:numPr>
        <w:rPr>
          <w:rFonts w:ascii="Arial" w:cs="Arial" w:eastAsia="Arial" w:hAnsi="Arial"/>
          <w:sz w:val="14"/>
          <w:szCs w:val="14"/>
          <w:color w:val="auto"/>
        </w:rPr>
      </w:pPr>
      <w:r>
        <w:rPr>
          <w:rFonts w:ascii="Arial" w:cs="Arial" w:eastAsia="Arial" w:hAnsi="Arial"/>
          <w:sz w:val="14"/>
          <w:szCs w:val="14"/>
          <w:color w:val="auto"/>
        </w:rPr>
        <w:t>Consists of agency mortgage-backed securities, agency bonds, agency collateralized mortgage obligations, mortgage-backed securities, and collateralized mortgage obligations.</w:t>
      </w: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See Note 11, “Deferred Compensation” for more information.</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Included in “Prepaid expenses and other current assets,” or “Long-term other assets,” in the accompanying Condensed Consolidated Balance Sheets.</w:t>
      </w:r>
    </w:p>
    <w:p>
      <w:pPr>
        <w:spacing w:after="0" w:line="3" w:lineRule="exact"/>
        <w:rPr>
          <w:rFonts w:ascii="Arial" w:cs="Arial" w:eastAsia="Arial" w:hAnsi="Arial"/>
          <w:sz w:val="14"/>
          <w:szCs w:val="14"/>
          <w:color w:val="auto"/>
        </w:rPr>
      </w:pPr>
    </w:p>
    <w:p>
      <w:pPr>
        <w:ind w:left="360" w:hanging="356"/>
        <w:spacing w:after="0"/>
        <w:tabs>
          <w:tab w:leader="none" w:pos="360" w:val="left"/>
        </w:tabs>
        <w:numPr>
          <w:ilvl w:val="0"/>
          <w:numId w:val="7"/>
        </w:numPr>
        <w:rPr>
          <w:rFonts w:ascii="Arial" w:cs="Arial" w:eastAsia="Arial" w:hAnsi="Arial"/>
          <w:sz w:val="14"/>
          <w:szCs w:val="14"/>
          <w:color w:val="auto"/>
        </w:rPr>
      </w:pPr>
      <w:r>
        <w:rPr>
          <w:rFonts w:ascii="Arial" w:cs="Arial" w:eastAsia="Arial" w:hAnsi="Arial"/>
          <w:sz w:val="14"/>
          <w:szCs w:val="14"/>
          <w:color w:val="auto"/>
        </w:rPr>
        <w:t>Included in “Other accrued liabilities” in the accompanying Condensed Consolidated Balance Sheets.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57" w:right="660" w:bottom="1440" w:gutter="0" w:footer="0" w:header="0"/>
        </w:sectPr>
      </w:pPr>
    </w:p>
    <w:bookmarkStart w:id="15" w:name="page16"/>
    <w:bookmarkEnd w:id="15"/>
    <w:p>
      <w:pPr>
        <w:ind w:left="560"/>
        <w:spacing w:after="0"/>
        <w:rPr>
          <w:sz w:val="20"/>
          <w:szCs w:val="20"/>
          <w:color w:val="auto"/>
        </w:rPr>
      </w:pPr>
      <w:r>
        <w:rPr>
          <w:rFonts w:ascii="Arial" w:cs="Arial" w:eastAsia="Arial" w:hAnsi="Arial"/>
          <w:sz w:val="15"/>
          <w:szCs w:val="15"/>
          <w:color w:val="auto"/>
        </w:rPr>
        <w:t>A reconciliation of the change in Autodesk’s Level 3 items for the three months ended April 30, 2023, is as follows:</w:t>
      </w:r>
    </w:p>
    <w:p>
      <w:pPr>
        <w:spacing w:after="0" w:line="13"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416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4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500" w:type="dxa"/>
            <w:vAlign w:val="bottom"/>
            <w:gridSpan w:val="4"/>
          </w:tcPr>
          <w:p>
            <w:pPr>
              <w:jc w:val="right"/>
              <w:ind w:right="220"/>
              <w:spacing w:after="0"/>
              <w:rPr>
                <w:sz w:val="20"/>
                <w:szCs w:val="20"/>
                <w:color w:val="auto"/>
              </w:rPr>
            </w:pPr>
            <w:r>
              <w:rPr>
                <w:rFonts w:ascii="Arial" w:cs="Arial" w:eastAsia="Arial" w:hAnsi="Arial"/>
                <w:sz w:val="13"/>
                <w:szCs w:val="13"/>
                <w:b w:val="1"/>
                <w:bCs w:val="1"/>
                <w:color w:val="auto"/>
              </w:rPr>
              <w:t>Fair Value Measurements Using</w:t>
            </w:r>
          </w:p>
        </w:tc>
        <w:tc>
          <w:tcPr>
            <w:tcW w:w="560" w:type="dxa"/>
            <w:vAlign w:val="bottom"/>
          </w:tcPr>
          <w:p>
            <w:pPr>
              <w:spacing w:after="0"/>
              <w:rPr>
                <w:sz w:val="13"/>
                <w:szCs w:val="13"/>
                <w:color w:val="auto"/>
              </w:rPr>
            </w:pPr>
          </w:p>
        </w:tc>
        <w:tc>
          <w:tcPr>
            <w:tcW w:w="11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6"/>
        </w:trPr>
        <w:tc>
          <w:tcPr>
            <w:tcW w:w="4160" w:type="dxa"/>
            <w:vAlign w:val="bottom"/>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3980" w:type="dxa"/>
            <w:vAlign w:val="bottom"/>
            <w:tcBorders>
              <w:bottom w:val="single" w:sz="8" w:color="auto"/>
            </w:tcBorders>
            <w:gridSpan w:val="6"/>
          </w:tcPr>
          <w:p>
            <w:pPr>
              <w:jc w:val="right"/>
              <w:ind w:right="220"/>
              <w:spacing w:after="0"/>
              <w:rPr>
                <w:sz w:val="20"/>
                <w:szCs w:val="20"/>
                <w:color w:val="auto"/>
              </w:rPr>
            </w:pPr>
            <w:r>
              <w:rPr>
                <w:rFonts w:ascii="Arial" w:cs="Arial" w:eastAsia="Arial" w:hAnsi="Arial"/>
                <w:sz w:val="13"/>
                <w:szCs w:val="13"/>
                <w:b w:val="1"/>
                <w:bCs w:val="1"/>
                <w:color w:val="auto"/>
              </w:rPr>
              <w:t>Significant Unobservable Inputs (Level 3)</w:t>
            </w:r>
          </w:p>
        </w:tc>
        <w:tc>
          <w:tcPr>
            <w:tcW w:w="56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1"/>
        </w:trPr>
        <w:tc>
          <w:tcPr>
            <w:tcW w:w="416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1400" w:type="dxa"/>
            <w:vAlign w:val="bottom"/>
            <w:vMerge w:val="restart"/>
          </w:tcPr>
          <w:p>
            <w:pPr>
              <w:jc w:val="right"/>
              <w:ind w:right="112"/>
              <w:spacing w:after="0"/>
              <w:rPr>
                <w:sz w:val="20"/>
                <w:szCs w:val="20"/>
                <w:color w:val="auto"/>
              </w:rPr>
            </w:pPr>
            <w:r>
              <w:rPr>
                <w:rFonts w:ascii="Arial" w:cs="Arial" w:eastAsia="Arial" w:hAnsi="Arial"/>
                <w:sz w:val="13"/>
                <w:szCs w:val="13"/>
                <w:b w:val="1"/>
                <w:bCs w:val="1"/>
                <w:color w:val="auto"/>
              </w:rPr>
              <w:t>Derivative Contract</w:t>
            </w:r>
          </w:p>
        </w:tc>
        <w:tc>
          <w:tcPr>
            <w:tcW w:w="8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1800" w:type="dxa"/>
            <w:vAlign w:val="bottom"/>
            <w:gridSpan w:val="3"/>
          </w:tcPr>
          <w:p>
            <w:pPr>
              <w:jc w:val="right"/>
              <w:ind w:right="660"/>
              <w:spacing w:after="0" w:line="121" w:lineRule="exact"/>
              <w:rPr>
                <w:sz w:val="20"/>
                <w:szCs w:val="20"/>
                <w:color w:val="auto"/>
              </w:rPr>
            </w:pPr>
            <w:r>
              <w:rPr>
                <w:rFonts w:ascii="Arial" w:cs="Arial" w:eastAsia="Arial" w:hAnsi="Arial"/>
                <w:sz w:val="13"/>
                <w:szCs w:val="13"/>
                <w:b w:val="1"/>
                <w:bCs w:val="1"/>
                <w:color w:val="auto"/>
              </w:rPr>
              <w:t>Convertible Debt</w:t>
            </w:r>
          </w:p>
        </w:tc>
        <w:tc>
          <w:tcPr>
            <w:tcW w:w="560" w:type="dxa"/>
            <w:vAlign w:val="bottom"/>
          </w:tcPr>
          <w:p>
            <w:pPr>
              <w:spacing w:after="0"/>
              <w:rPr>
                <w:sz w:val="10"/>
                <w:szCs w:val="10"/>
                <w:color w:val="auto"/>
              </w:rPr>
            </w:pPr>
          </w:p>
        </w:tc>
        <w:tc>
          <w:tcPr>
            <w:tcW w:w="1180" w:type="dxa"/>
            <w:vAlign w:val="bottom"/>
            <w:vMerge w:val="restart"/>
          </w:tcPr>
          <w:p>
            <w:pPr>
              <w:jc w:val="right"/>
              <w:ind w:right="531"/>
              <w:spacing w:after="0"/>
              <w:rPr>
                <w:sz w:val="20"/>
                <w:szCs w:val="20"/>
                <w:color w:val="auto"/>
              </w:rPr>
            </w:pPr>
            <w:r>
              <w:rPr>
                <w:rFonts w:ascii="Arial" w:cs="Arial" w:eastAsia="Arial" w:hAnsi="Arial"/>
                <w:sz w:val="13"/>
                <w:szCs w:val="13"/>
                <w:b w:val="1"/>
                <w:bCs w:val="1"/>
                <w:color w:val="auto"/>
              </w:rPr>
              <w:t>Total</w:t>
            </w:r>
          </w:p>
        </w:tc>
        <w:tc>
          <w:tcPr>
            <w:tcW w:w="0" w:type="dxa"/>
            <w:vAlign w:val="bottom"/>
          </w:tcPr>
          <w:p>
            <w:pPr>
              <w:spacing w:after="0"/>
              <w:rPr>
                <w:sz w:val="1"/>
                <w:szCs w:val="1"/>
                <w:color w:val="auto"/>
              </w:rPr>
            </w:pPr>
          </w:p>
        </w:tc>
      </w:tr>
      <w:tr>
        <w:trPr>
          <w:trHeight w:val="176"/>
        </w:trPr>
        <w:tc>
          <w:tcPr>
            <w:tcW w:w="416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0" w:type="dxa"/>
            <w:vAlign w:val="bottom"/>
            <w:tcBorders>
              <w:bottom w:val="single" w:sz="8" w:color="auto"/>
            </w:tcBorders>
            <w:vMerge w:val="continue"/>
          </w:tcPr>
          <w:p>
            <w:pPr>
              <w:spacing w:after="0"/>
              <w:rPr>
                <w:sz w:val="15"/>
                <w:szCs w:val="15"/>
                <w:color w:val="auto"/>
              </w:rPr>
            </w:pPr>
          </w:p>
        </w:tc>
        <w:tc>
          <w:tcPr>
            <w:tcW w:w="80" w:type="dxa"/>
            <w:vAlign w:val="bottom"/>
            <w:tcBorders>
              <w:bottom w:val="single" w:sz="8" w:color="CCEEFF"/>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380" w:type="dxa"/>
            <w:vAlign w:val="bottom"/>
            <w:tcBorders>
              <w:bottom w:val="single" w:sz="8" w:color="auto"/>
            </w:tcBorders>
          </w:tcPr>
          <w:p>
            <w:pPr>
              <w:jc w:val="right"/>
              <w:ind w:right="672"/>
              <w:spacing w:after="0"/>
              <w:rPr>
                <w:sz w:val="20"/>
                <w:szCs w:val="20"/>
                <w:color w:val="auto"/>
              </w:rPr>
            </w:pPr>
            <w:r>
              <w:rPr>
                <w:rFonts w:ascii="Arial" w:cs="Arial" w:eastAsia="Arial" w:hAnsi="Arial"/>
                <w:sz w:val="13"/>
                <w:szCs w:val="13"/>
                <w:b w:val="1"/>
                <w:bCs w:val="1"/>
                <w:color w:val="auto"/>
                <w:w w:val="99"/>
              </w:rPr>
              <w:t>Securities</w:t>
            </w:r>
          </w:p>
        </w:tc>
        <w:tc>
          <w:tcPr>
            <w:tcW w:w="80" w:type="dxa"/>
            <w:vAlign w:val="bottom"/>
            <w:tcBorders>
              <w:bottom w:val="single" w:sz="8" w:color="CCEEFF"/>
            </w:tcBorders>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56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4160" w:type="dxa"/>
            <w:vAlign w:val="bottom"/>
            <w:shd w:val="clear" w:color="auto" w:fill="CCEEFF"/>
          </w:tcPr>
          <w:p>
            <w:pPr>
              <w:ind w:left="580"/>
              <w:spacing w:after="0"/>
              <w:rPr>
                <w:sz w:val="20"/>
                <w:szCs w:val="20"/>
                <w:color w:val="auto"/>
              </w:rPr>
            </w:pPr>
            <w:r>
              <w:rPr>
                <w:rFonts w:ascii="Arial" w:cs="Arial" w:eastAsia="Arial" w:hAnsi="Arial"/>
                <w:sz w:val="14"/>
                <w:szCs w:val="14"/>
                <w:color w:val="auto"/>
              </w:rPr>
              <w:t>Balances, January 31, 2023</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4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78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3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80" w:type="dxa"/>
            <w:vAlign w:val="bottom"/>
            <w:shd w:val="clear" w:color="auto" w:fill="CCEEFF"/>
          </w:tcPr>
          <w:p>
            <w:pPr>
              <w:spacing w:after="0"/>
              <w:rPr>
                <w:sz w:val="15"/>
                <w:szCs w:val="15"/>
                <w:color w:val="auto"/>
              </w:rPr>
            </w:pPr>
          </w:p>
        </w:tc>
        <w:tc>
          <w:tcPr>
            <w:tcW w:w="340" w:type="dxa"/>
            <w:vAlign w:val="bottom"/>
            <w:shd w:val="clear" w:color="auto" w:fill="CCEEFF"/>
          </w:tcPr>
          <w:p>
            <w:pPr>
              <w:spacing w:after="0"/>
              <w:rPr>
                <w:sz w:val="15"/>
                <w:szCs w:val="15"/>
                <w:color w:val="auto"/>
              </w:rPr>
            </w:pPr>
          </w:p>
        </w:tc>
        <w:tc>
          <w:tcPr>
            <w:tcW w:w="560" w:type="dxa"/>
            <w:vAlign w:val="bottom"/>
            <w:shd w:val="clear" w:color="auto" w:fill="CCEEFF"/>
          </w:tcPr>
          <w:p>
            <w:pPr>
              <w:jc w:val="right"/>
              <w:ind w:right="190"/>
              <w:spacing w:after="0"/>
              <w:rPr>
                <w:sz w:val="20"/>
                <w:szCs w:val="20"/>
                <w:color w:val="auto"/>
              </w:rPr>
            </w:pPr>
            <w:r>
              <w:rPr>
                <w:rFonts w:ascii="Arial" w:cs="Arial" w:eastAsia="Arial" w:hAnsi="Arial"/>
                <w:sz w:val="14"/>
                <w:szCs w:val="14"/>
                <w:color w:val="auto"/>
              </w:rPr>
              <w:t>$</w:t>
            </w:r>
          </w:p>
        </w:tc>
        <w:tc>
          <w:tcPr>
            <w:tcW w:w="118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185"/>
        </w:trPr>
        <w:tc>
          <w:tcPr>
            <w:tcW w:w="4160" w:type="dxa"/>
            <w:vAlign w:val="bottom"/>
            <w:tcBorders>
              <w:bottom w:val="single" w:sz="8" w:color="CCEEFF"/>
            </w:tcBorders>
          </w:tcPr>
          <w:p>
            <w:pPr>
              <w:ind w:left="760"/>
              <w:spacing w:after="0"/>
              <w:rPr>
                <w:sz w:val="20"/>
                <w:szCs w:val="20"/>
                <w:color w:val="auto"/>
              </w:rPr>
            </w:pPr>
            <w:r>
              <w:rPr>
                <w:rFonts w:ascii="Arial" w:cs="Arial" w:eastAsia="Arial" w:hAnsi="Arial"/>
                <w:sz w:val="14"/>
                <w:szCs w:val="14"/>
                <w:color w:val="auto"/>
              </w:rPr>
              <w:t>Gain included in earnings</w:t>
            </w:r>
          </w:p>
        </w:tc>
        <w:tc>
          <w:tcPr>
            <w:tcW w:w="700" w:type="dxa"/>
            <w:vAlign w:val="bottom"/>
            <w:tcBorders>
              <w:bottom w:val="single" w:sz="8" w:color="auto"/>
            </w:tcBorders>
          </w:tcPr>
          <w:p>
            <w:pPr>
              <w:spacing w:after="0"/>
              <w:rPr>
                <w:sz w:val="16"/>
                <w:szCs w:val="16"/>
                <w:color w:val="auto"/>
              </w:rPr>
            </w:pPr>
          </w:p>
        </w:tc>
        <w:tc>
          <w:tcPr>
            <w:tcW w:w="140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w:t>
            </w:r>
          </w:p>
        </w:tc>
        <w:tc>
          <w:tcPr>
            <w:tcW w:w="80" w:type="dxa"/>
            <w:vAlign w:val="bottom"/>
            <w:tcBorders>
              <w:bottom w:val="single" w:sz="8" w:color="CCEEFF"/>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13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w:t>
            </w:r>
          </w:p>
        </w:tc>
        <w:tc>
          <w:tcPr>
            <w:tcW w:w="80" w:type="dxa"/>
            <w:vAlign w:val="bottom"/>
            <w:tcBorders>
              <w:bottom w:val="single" w:sz="8" w:color="CCEEFF"/>
            </w:tcBorders>
          </w:tcPr>
          <w:p>
            <w:pPr>
              <w:spacing w:after="0"/>
              <w:rPr>
                <w:sz w:val="16"/>
                <w:szCs w:val="16"/>
                <w:color w:val="auto"/>
              </w:rPr>
            </w:pPr>
          </w:p>
        </w:tc>
        <w:tc>
          <w:tcPr>
            <w:tcW w:w="34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18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1</w:t>
            </w:r>
          </w:p>
        </w:tc>
        <w:tc>
          <w:tcPr>
            <w:tcW w:w="0" w:type="dxa"/>
            <w:vAlign w:val="bottom"/>
          </w:tcPr>
          <w:p>
            <w:pPr>
              <w:spacing w:after="0"/>
              <w:rPr>
                <w:sz w:val="1"/>
                <w:szCs w:val="1"/>
                <w:color w:val="auto"/>
              </w:rPr>
            </w:pPr>
          </w:p>
        </w:tc>
      </w:tr>
      <w:tr>
        <w:trPr>
          <w:trHeight w:val="202"/>
        </w:trPr>
        <w:tc>
          <w:tcPr>
            <w:tcW w:w="4160" w:type="dxa"/>
            <w:vAlign w:val="bottom"/>
            <w:shd w:val="clear" w:color="auto" w:fill="CCEEFF"/>
          </w:tcPr>
          <w:p>
            <w:pPr>
              <w:ind w:left="580"/>
              <w:spacing w:after="0"/>
              <w:rPr>
                <w:sz w:val="20"/>
                <w:szCs w:val="20"/>
                <w:color w:val="auto"/>
              </w:rPr>
            </w:pPr>
            <w:r>
              <w:rPr>
                <w:rFonts w:ascii="Arial" w:cs="Arial" w:eastAsia="Arial" w:hAnsi="Arial"/>
                <w:sz w:val="14"/>
                <w:szCs w:val="14"/>
                <w:color w:val="auto"/>
              </w:rPr>
              <w:t>Balances, April 30, 2023</w:t>
            </w:r>
          </w:p>
        </w:tc>
        <w:tc>
          <w:tcPr>
            <w:tcW w:w="7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4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78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3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80" w:type="dxa"/>
            <w:vAlign w:val="bottom"/>
            <w:shd w:val="clear" w:color="auto" w:fill="CCEEFF"/>
          </w:tcPr>
          <w:p>
            <w:pPr>
              <w:spacing w:after="0"/>
              <w:rPr>
                <w:sz w:val="17"/>
                <w:szCs w:val="17"/>
                <w:color w:val="auto"/>
              </w:rPr>
            </w:pPr>
          </w:p>
        </w:tc>
        <w:tc>
          <w:tcPr>
            <w:tcW w:w="340" w:type="dxa"/>
            <w:vAlign w:val="bottom"/>
            <w:shd w:val="clear" w:color="auto" w:fill="CCEEFF"/>
          </w:tcPr>
          <w:p>
            <w:pPr>
              <w:spacing w:after="0"/>
              <w:rPr>
                <w:sz w:val="17"/>
                <w:szCs w:val="17"/>
                <w:color w:val="auto"/>
              </w:rPr>
            </w:pPr>
          </w:p>
        </w:tc>
        <w:tc>
          <w:tcPr>
            <w:tcW w:w="560" w:type="dxa"/>
            <w:vAlign w:val="bottom"/>
            <w:shd w:val="clear" w:color="auto" w:fill="CCEEFF"/>
          </w:tcPr>
          <w:p>
            <w:pPr>
              <w:jc w:val="right"/>
              <w:ind w:right="190"/>
              <w:spacing w:after="0"/>
              <w:rPr>
                <w:sz w:val="20"/>
                <w:szCs w:val="20"/>
                <w:color w:val="auto"/>
              </w:rPr>
            </w:pPr>
            <w:r>
              <w:rPr>
                <w:rFonts w:ascii="Arial" w:cs="Arial" w:eastAsia="Arial" w:hAnsi="Arial"/>
                <w:sz w:val="14"/>
                <w:szCs w:val="14"/>
                <w:color w:val="auto"/>
              </w:rPr>
              <w:t>$</w:t>
            </w:r>
          </w:p>
        </w:tc>
        <w:tc>
          <w:tcPr>
            <w:tcW w:w="118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3</w:t>
            </w:r>
          </w:p>
        </w:tc>
        <w:tc>
          <w:tcPr>
            <w:tcW w:w="0" w:type="dxa"/>
            <w:vAlign w:val="bottom"/>
          </w:tcPr>
          <w:p>
            <w:pPr>
              <w:spacing w:after="0"/>
              <w:rPr>
                <w:sz w:val="1"/>
                <w:szCs w:val="1"/>
                <w:color w:val="auto"/>
              </w:rPr>
            </w:pPr>
          </w:p>
        </w:tc>
      </w:tr>
      <w:tr>
        <w:trPr>
          <w:trHeight w:val="20"/>
        </w:trPr>
        <w:tc>
          <w:tcPr>
            <w:tcW w:w="4160" w:type="dxa"/>
            <w:vAlign w:val="bottom"/>
            <w:tcBorders>
              <w:top w:val="single" w:sz="8" w:color="CCEEFF"/>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78" w:lineRule="exact"/>
        <w:rPr>
          <w:sz w:val="20"/>
          <w:szCs w:val="20"/>
          <w:color w:val="auto"/>
        </w:rPr>
      </w:pPr>
    </w:p>
    <w:p>
      <w:pPr>
        <w:jc w:val="both"/>
        <w:ind w:left="180" w:right="8840" w:hanging="176"/>
        <w:spacing w:after="0" w:line="559" w:lineRule="auto"/>
        <w:tabs>
          <w:tab w:leader="none" w:pos="168" w:val="left"/>
        </w:tabs>
        <w:numPr>
          <w:ilvl w:val="0"/>
          <w:numId w:val="8"/>
        </w:numPr>
        <w:rPr>
          <w:rFonts w:ascii="Arial" w:cs="Arial" w:eastAsia="Arial" w:hAnsi="Arial"/>
          <w:sz w:val="15"/>
          <w:szCs w:val="15"/>
          <w:b w:val="1"/>
          <w:bCs w:val="1"/>
          <w:i w:val="1"/>
          <w:iCs w:val="1"/>
          <w:color w:val="auto"/>
        </w:rPr>
      </w:pPr>
      <w:r>
        <w:rPr>
          <w:rFonts w:ascii="Arial" w:cs="Arial" w:eastAsia="Arial" w:hAnsi="Arial"/>
          <w:sz w:val="15"/>
          <w:szCs w:val="15"/>
          <w:b w:val="1"/>
          <w:bCs w:val="1"/>
          <w:i w:val="1"/>
          <w:iCs w:val="1"/>
          <w:color w:val="auto"/>
        </w:rPr>
        <w:t xml:space="preserve">Equity Compensation </w:t>
      </w:r>
      <w:r>
        <w:rPr>
          <w:rFonts w:ascii="Arial" w:cs="Arial" w:eastAsia="Arial" w:hAnsi="Arial"/>
          <w:sz w:val="15"/>
          <w:szCs w:val="15"/>
          <w:i w:val="1"/>
          <w:iCs w:val="1"/>
          <w:color w:val="auto"/>
        </w:rPr>
        <w:t>Restricted Stock Units</w:t>
      </w:r>
    </w:p>
    <w:p>
      <w:pPr>
        <w:spacing w:after="0" w:line="1" w:lineRule="exact"/>
        <w:rPr>
          <w:rFonts w:ascii="Arial" w:cs="Arial" w:eastAsia="Arial" w:hAnsi="Arial"/>
          <w:sz w:val="15"/>
          <w:szCs w:val="15"/>
          <w:b w:val="1"/>
          <w:bCs w:val="1"/>
          <w:i w:val="1"/>
          <w:iCs w:val="1"/>
          <w:color w:val="auto"/>
        </w:rPr>
      </w:pPr>
    </w:p>
    <w:p>
      <w:pPr>
        <w:ind w:left="400"/>
        <w:spacing w:after="0"/>
        <w:rPr>
          <w:rFonts w:ascii="Arial" w:cs="Arial" w:eastAsia="Arial" w:hAnsi="Arial"/>
          <w:sz w:val="15"/>
          <w:szCs w:val="15"/>
          <w:b w:val="1"/>
          <w:bCs w:val="1"/>
          <w:i w:val="1"/>
          <w:iCs w:val="1"/>
          <w:color w:val="auto"/>
        </w:rPr>
      </w:pPr>
      <w:r>
        <w:rPr>
          <w:rFonts w:ascii="Arial" w:cs="Arial" w:eastAsia="Arial" w:hAnsi="Arial"/>
          <w:sz w:val="15"/>
          <w:szCs w:val="15"/>
          <w:color w:val="auto"/>
        </w:rPr>
        <w:t>A summary of restricted stock activity for the three months ended April 30, 2023, is as follows:</w:t>
      </w:r>
    </w:p>
    <w:p>
      <w:pPr>
        <w:spacing w:after="0" w:line="13"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7260" w:type="dxa"/>
            <w:vAlign w:val="bottom"/>
          </w:tcPr>
          <w:p>
            <w:pPr>
              <w:spacing w:after="0"/>
              <w:rPr>
                <w:sz w:val="13"/>
                <w:szCs w:val="13"/>
                <w:color w:val="auto"/>
              </w:rPr>
            </w:pPr>
          </w:p>
        </w:tc>
        <w:tc>
          <w:tcPr>
            <w:tcW w:w="1560" w:type="dxa"/>
            <w:vAlign w:val="bottom"/>
            <w:vMerge w:val="restart"/>
          </w:tcPr>
          <w:p>
            <w:pPr>
              <w:jc w:val="right"/>
              <w:ind w:right="232"/>
              <w:spacing w:after="0"/>
              <w:rPr>
                <w:sz w:val="20"/>
                <w:szCs w:val="20"/>
                <w:color w:val="auto"/>
              </w:rPr>
            </w:pPr>
            <w:r>
              <w:rPr>
                <w:rFonts w:ascii="Arial" w:cs="Arial" w:eastAsia="Arial" w:hAnsi="Arial"/>
                <w:sz w:val="13"/>
                <w:szCs w:val="13"/>
                <w:b w:val="1"/>
                <w:bCs w:val="1"/>
                <w:color w:val="auto"/>
              </w:rPr>
              <w:t>Unvested</w:t>
            </w: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120" w:type="dxa"/>
            <w:vAlign w:val="bottom"/>
          </w:tcPr>
          <w:p>
            <w:pPr>
              <w:jc w:val="right"/>
              <w:ind w:right="251"/>
              <w:spacing w:after="0"/>
              <w:rPr>
                <w:sz w:val="20"/>
                <w:szCs w:val="20"/>
                <w:color w:val="auto"/>
              </w:rPr>
            </w:pPr>
            <w:r>
              <w:rPr>
                <w:rFonts w:ascii="Arial" w:cs="Arial" w:eastAsia="Arial" w:hAnsi="Arial"/>
                <w:sz w:val="13"/>
                <w:szCs w:val="13"/>
                <w:b w:val="1"/>
                <w:bCs w:val="1"/>
                <w:color w:val="auto"/>
              </w:rPr>
              <w:t>Weighted</w:t>
            </w:r>
          </w:p>
        </w:tc>
        <w:tc>
          <w:tcPr>
            <w:tcW w:w="0" w:type="dxa"/>
            <w:vAlign w:val="bottom"/>
          </w:tcPr>
          <w:p>
            <w:pPr>
              <w:spacing w:after="0"/>
              <w:rPr>
                <w:sz w:val="1"/>
                <w:szCs w:val="1"/>
                <w:color w:val="auto"/>
              </w:rPr>
            </w:pPr>
          </w:p>
        </w:tc>
      </w:tr>
      <w:tr>
        <w:trPr>
          <w:trHeight w:val="129"/>
        </w:trPr>
        <w:tc>
          <w:tcPr>
            <w:tcW w:w="7260" w:type="dxa"/>
            <w:vAlign w:val="bottom"/>
          </w:tcPr>
          <w:p>
            <w:pPr>
              <w:spacing w:after="0"/>
              <w:rPr>
                <w:sz w:val="11"/>
                <w:szCs w:val="11"/>
                <w:color w:val="auto"/>
              </w:rPr>
            </w:pPr>
          </w:p>
        </w:tc>
        <w:tc>
          <w:tcPr>
            <w:tcW w:w="156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1640" w:type="dxa"/>
            <w:vAlign w:val="bottom"/>
            <w:gridSpan w:val="2"/>
          </w:tcPr>
          <w:p>
            <w:pPr>
              <w:ind w:left="400"/>
              <w:spacing w:after="0" w:line="129" w:lineRule="exact"/>
              <w:rPr>
                <w:sz w:val="20"/>
                <w:szCs w:val="20"/>
                <w:color w:val="auto"/>
              </w:rPr>
            </w:pPr>
            <w:r>
              <w:rPr>
                <w:rFonts w:ascii="Arial" w:cs="Arial" w:eastAsia="Arial" w:hAnsi="Arial"/>
                <w:sz w:val="13"/>
                <w:szCs w:val="13"/>
                <w:b w:val="1"/>
                <w:bCs w:val="1"/>
                <w:color w:val="auto"/>
              </w:rPr>
              <w:t>average grant</w:t>
            </w:r>
          </w:p>
        </w:tc>
        <w:tc>
          <w:tcPr>
            <w:tcW w:w="0" w:type="dxa"/>
            <w:vAlign w:val="bottom"/>
          </w:tcPr>
          <w:p>
            <w:pPr>
              <w:spacing w:after="0"/>
              <w:rPr>
                <w:sz w:val="1"/>
                <w:szCs w:val="1"/>
                <w:color w:val="auto"/>
              </w:rPr>
            </w:pPr>
          </w:p>
        </w:tc>
      </w:tr>
      <w:tr>
        <w:trPr>
          <w:trHeight w:val="129"/>
        </w:trPr>
        <w:tc>
          <w:tcPr>
            <w:tcW w:w="7260" w:type="dxa"/>
            <w:vAlign w:val="bottom"/>
          </w:tcPr>
          <w:p>
            <w:pPr>
              <w:spacing w:after="0"/>
              <w:rPr>
                <w:sz w:val="11"/>
                <w:szCs w:val="11"/>
                <w:color w:val="auto"/>
              </w:rPr>
            </w:pPr>
          </w:p>
        </w:tc>
        <w:tc>
          <w:tcPr>
            <w:tcW w:w="1560" w:type="dxa"/>
            <w:vAlign w:val="bottom"/>
          </w:tcPr>
          <w:p>
            <w:pPr>
              <w:jc w:val="right"/>
              <w:ind w:right="412"/>
              <w:spacing w:after="0" w:line="129" w:lineRule="exact"/>
              <w:rPr>
                <w:sz w:val="20"/>
                <w:szCs w:val="20"/>
                <w:color w:val="auto"/>
              </w:rPr>
            </w:pPr>
            <w:r>
              <w:rPr>
                <w:rFonts w:ascii="Arial" w:cs="Arial" w:eastAsia="Arial" w:hAnsi="Arial"/>
                <w:sz w:val="13"/>
                <w:szCs w:val="13"/>
                <w:b w:val="1"/>
                <w:bCs w:val="1"/>
                <w:color w:val="auto"/>
              </w:rPr>
              <w:t>restricted</w:t>
            </w:r>
          </w:p>
        </w:tc>
        <w:tc>
          <w:tcPr>
            <w:tcW w:w="80" w:type="dxa"/>
            <w:vAlign w:val="bottom"/>
          </w:tcPr>
          <w:p>
            <w:pPr>
              <w:spacing w:after="0"/>
              <w:rPr>
                <w:sz w:val="11"/>
                <w:szCs w:val="11"/>
                <w:color w:val="auto"/>
              </w:rPr>
            </w:pPr>
          </w:p>
        </w:tc>
        <w:tc>
          <w:tcPr>
            <w:tcW w:w="1640" w:type="dxa"/>
            <w:vAlign w:val="bottom"/>
            <w:gridSpan w:val="2"/>
          </w:tcPr>
          <w:p>
            <w:pPr>
              <w:ind w:left="400"/>
              <w:spacing w:after="0" w:line="129" w:lineRule="exact"/>
              <w:rPr>
                <w:sz w:val="20"/>
                <w:szCs w:val="20"/>
                <w:color w:val="auto"/>
              </w:rPr>
            </w:pPr>
            <w:r>
              <w:rPr>
                <w:rFonts w:ascii="Arial" w:cs="Arial" w:eastAsia="Arial" w:hAnsi="Arial"/>
                <w:sz w:val="13"/>
                <w:szCs w:val="13"/>
                <w:b w:val="1"/>
                <w:bCs w:val="1"/>
                <w:color w:val="auto"/>
              </w:rPr>
              <w:t>date fair value</w:t>
            </w:r>
          </w:p>
        </w:tc>
        <w:tc>
          <w:tcPr>
            <w:tcW w:w="0" w:type="dxa"/>
            <w:vAlign w:val="bottom"/>
          </w:tcPr>
          <w:p>
            <w:pPr>
              <w:spacing w:after="0"/>
              <w:rPr>
                <w:sz w:val="1"/>
                <w:szCs w:val="1"/>
                <w:color w:val="auto"/>
              </w:rPr>
            </w:pPr>
          </w:p>
        </w:tc>
      </w:tr>
      <w:tr>
        <w:trPr>
          <w:trHeight w:val="176"/>
        </w:trPr>
        <w:tc>
          <w:tcPr>
            <w:tcW w:w="7260" w:type="dxa"/>
            <w:vAlign w:val="bottom"/>
          </w:tcPr>
          <w:p>
            <w:pPr>
              <w:spacing w:after="0"/>
              <w:rPr>
                <w:sz w:val="15"/>
                <w:szCs w:val="15"/>
                <w:color w:val="auto"/>
              </w:rPr>
            </w:pPr>
          </w:p>
        </w:tc>
        <w:tc>
          <w:tcPr>
            <w:tcW w:w="1560" w:type="dxa"/>
            <w:vAlign w:val="bottom"/>
            <w:tcBorders>
              <w:bottom w:val="single" w:sz="8" w:color="auto"/>
            </w:tcBorders>
          </w:tcPr>
          <w:p>
            <w:pPr>
              <w:jc w:val="right"/>
              <w:ind w:right="372"/>
              <w:spacing w:after="0"/>
              <w:rPr>
                <w:sz w:val="20"/>
                <w:szCs w:val="20"/>
                <w:color w:val="auto"/>
              </w:rPr>
            </w:pPr>
            <w:r>
              <w:rPr>
                <w:rFonts w:ascii="Arial" w:cs="Arial" w:eastAsia="Arial" w:hAnsi="Arial"/>
                <w:sz w:val="13"/>
                <w:szCs w:val="13"/>
                <w:b w:val="1"/>
                <w:bCs w:val="1"/>
                <w:color w:val="auto"/>
              </w:rPr>
              <w:t>stock units</w:t>
            </w:r>
          </w:p>
        </w:tc>
        <w:tc>
          <w:tcPr>
            <w:tcW w:w="80" w:type="dxa"/>
            <w:vAlign w:val="bottom"/>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jc w:val="right"/>
              <w:ind w:right="451"/>
              <w:spacing w:after="0"/>
              <w:rPr>
                <w:sz w:val="20"/>
                <w:szCs w:val="20"/>
                <w:color w:val="auto"/>
              </w:rPr>
            </w:pPr>
            <w:r>
              <w:rPr>
                <w:rFonts w:ascii="Arial" w:cs="Arial" w:eastAsia="Arial" w:hAnsi="Arial"/>
                <w:sz w:val="13"/>
                <w:szCs w:val="13"/>
                <w:b w:val="1"/>
                <w:bCs w:val="1"/>
                <w:color w:val="auto"/>
                <w:w w:val="99"/>
              </w:rPr>
              <w:t>per share</w:t>
            </w:r>
          </w:p>
        </w:tc>
        <w:tc>
          <w:tcPr>
            <w:tcW w:w="0" w:type="dxa"/>
            <w:vAlign w:val="bottom"/>
          </w:tcPr>
          <w:p>
            <w:pPr>
              <w:spacing w:after="0"/>
              <w:rPr>
                <w:sz w:val="1"/>
                <w:szCs w:val="1"/>
                <w:color w:val="auto"/>
              </w:rPr>
            </w:pPr>
          </w:p>
        </w:tc>
      </w:tr>
      <w:tr>
        <w:trPr>
          <w:trHeight w:val="167"/>
        </w:trPr>
        <w:tc>
          <w:tcPr>
            <w:tcW w:w="7260" w:type="dxa"/>
            <w:vAlign w:val="bottom"/>
          </w:tcPr>
          <w:p>
            <w:pPr>
              <w:spacing w:after="0"/>
              <w:rPr>
                <w:sz w:val="14"/>
                <w:szCs w:val="14"/>
                <w:color w:val="auto"/>
              </w:rPr>
            </w:pPr>
          </w:p>
        </w:tc>
        <w:tc>
          <w:tcPr>
            <w:tcW w:w="1560" w:type="dxa"/>
            <w:vAlign w:val="bottom"/>
          </w:tcPr>
          <w:p>
            <w:pPr>
              <w:jc w:val="right"/>
              <w:ind w:right="72"/>
              <w:spacing w:after="0"/>
              <w:rPr>
                <w:sz w:val="20"/>
                <w:szCs w:val="20"/>
                <w:color w:val="auto"/>
              </w:rPr>
            </w:pPr>
            <w:r>
              <w:rPr>
                <w:rFonts w:ascii="Arial" w:cs="Arial" w:eastAsia="Arial" w:hAnsi="Arial"/>
                <w:sz w:val="13"/>
                <w:szCs w:val="13"/>
                <w:b w:val="1"/>
                <w:bCs w:val="1"/>
                <w:color w:val="auto"/>
              </w:rPr>
              <w:t>(in thousands)</w:t>
            </w:r>
          </w:p>
        </w:tc>
        <w:tc>
          <w:tcPr>
            <w:tcW w:w="8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1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7260" w:type="dxa"/>
            <w:vAlign w:val="bottom"/>
            <w:shd w:val="clear" w:color="auto" w:fill="CCEEFF"/>
          </w:tcPr>
          <w:p>
            <w:pPr>
              <w:ind w:left="400"/>
              <w:spacing w:after="0"/>
              <w:rPr>
                <w:sz w:val="20"/>
                <w:szCs w:val="20"/>
                <w:color w:val="auto"/>
              </w:rPr>
            </w:pPr>
            <w:r>
              <w:rPr>
                <w:rFonts w:ascii="Arial" w:cs="Arial" w:eastAsia="Arial" w:hAnsi="Arial"/>
                <w:sz w:val="14"/>
                <w:szCs w:val="14"/>
                <w:color w:val="auto"/>
              </w:rPr>
              <w:t>Unvested restricted stock units at January 31, 2023</w:t>
            </w:r>
          </w:p>
        </w:tc>
        <w:tc>
          <w:tcPr>
            <w:tcW w:w="156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4,848</w:t>
            </w:r>
          </w:p>
        </w:tc>
        <w:tc>
          <w:tcPr>
            <w:tcW w:w="600" w:type="dxa"/>
            <w:vAlign w:val="bottom"/>
            <w:gridSpan w:val="2"/>
            <w:shd w:val="clear" w:color="auto" w:fill="CCEEFF"/>
          </w:tcPr>
          <w:p>
            <w:pPr>
              <w:ind w:left="480"/>
              <w:spacing w:after="0"/>
              <w:rPr>
                <w:sz w:val="20"/>
                <w:szCs w:val="20"/>
                <w:color w:val="auto"/>
              </w:rPr>
            </w:pPr>
            <w:r>
              <w:rPr>
                <w:rFonts w:ascii="Arial" w:cs="Arial" w:eastAsia="Arial" w:hAnsi="Arial"/>
                <w:sz w:val="14"/>
                <w:szCs w:val="14"/>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216.20</w:t>
            </w:r>
          </w:p>
        </w:tc>
        <w:tc>
          <w:tcPr>
            <w:tcW w:w="0" w:type="dxa"/>
            <w:vAlign w:val="bottom"/>
          </w:tcPr>
          <w:p>
            <w:pPr>
              <w:spacing w:after="0"/>
              <w:rPr>
                <w:sz w:val="1"/>
                <w:szCs w:val="1"/>
                <w:color w:val="auto"/>
              </w:rPr>
            </w:pPr>
          </w:p>
        </w:tc>
      </w:tr>
      <w:tr>
        <w:trPr>
          <w:trHeight w:val="185"/>
        </w:trPr>
        <w:tc>
          <w:tcPr>
            <w:tcW w:w="7260" w:type="dxa"/>
            <w:vAlign w:val="bottom"/>
          </w:tcPr>
          <w:p>
            <w:pPr>
              <w:ind w:left="680"/>
              <w:spacing w:after="0"/>
              <w:rPr>
                <w:sz w:val="20"/>
                <w:szCs w:val="20"/>
                <w:color w:val="auto"/>
              </w:rPr>
            </w:pPr>
            <w:r>
              <w:rPr>
                <w:rFonts w:ascii="Arial" w:cs="Arial" w:eastAsia="Arial" w:hAnsi="Arial"/>
                <w:sz w:val="14"/>
                <w:szCs w:val="14"/>
                <w:color w:val="auto"/>
              </w:rPr>
              <w:t>Granted</w:t>
            </w:r>
          </w:p>
        </w:tc>
        <w:tc>
          <w:tcPr>
            <w:tcW w:w="1560" w:type="dxa"/>
            <w:vAlign w:val="bottom"/>
          </w:tcPr>
          <w:p>
            <w:pPr>
              <w:jc w:val="right"/>
              <w:ind w:right="12"/>
              <w:spacing w:after="0"/>
              <w:rPr>
                <w:sz w:val="20"/>
                <w:szCs w:val="20"/>
                <w:color w:val="auto"/>
              </w:rPr>
            </w:pPr>
            <w:r>
              <w:rPr>
                <w:rFonts w:ascii="Arial" w:cs="Arial" w:eastAsia="Arial" w:hAnsi="Arial"/>
                <w:sz w:val="14"/>
                <w:szCs w:val="14"/>
                <w:color w:val="auto"/>
              </w:rPr>
              <w:t>3,117</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1120" w:type="dxa"/>
            <w:vAlign w:val="bottom"/>
          </w:tcPr>
          <w:p>
            <w:pPr>
              <w:jc w:val="right"/>
              <w:spacing w:after="0"/>
              <w:rPr>
                <w:sz w:val="20"/>
                <w:szCs w:val="20"/>
                <w:color w:val="auto"/>
              </w:rPr>
            </w:pPr>
            <w:r>
              <w:rPr>
                <w:rFonts w:ascii="Arial" w:cs="Arial" w:eastAsia="Arial" w:hAnsi="Arial"/>
                <w:sz w:val="14"/>
                <w:szCs w:val="14"/>
                <w:color w:val="auto"/>
              </w:rPr>
              <w:t>198.59</w:t>
            </w:r>
          </w:p>
        </w:tc>
        <w:tc>
          <w:tcPr>
            <w:tcW w:w="0" w:type="dxa"/>
            <w:vAlign w:val="bottom"/>
          </w:tcPr>
          <w:p>
            <w:pPr>
              <w:spacing w:after="0"/>
              <w:rPr>
                <w:sz w:val="1"/>
                <w:szCs w:val="1"/>
                <w:color w:val="auto"/>
              </w:rPr>
            </w:pPr>
          </w:p>
        </w:tc>
      </w:tr>
      <w:tr>
        <w:trPr>
          <w:trHeight w:val="190"/>
        </w:trPr>
        <w:tc>
          <w:tcPr>
            <w:tcW w:w="7260" w:type="dxa"/>
            <w:vAlign w:val="bottom"/>
            <w:shd w:val="clear" w:color="auto" w:fill="CCEEFF"/>
          </w:tcPr>
          <w:p>
            <w:pPr>
              <w:ind w:left="680"/>
              <w:spacing w:after="0"/>
              <w:rPr>
                <w:sz w:val="20"/>
                <w:szCs w:val="20"/>
                <w:color w:val="auto"/>
              </w:rPr>
            </w:pPr>
            <w:r>
              <w:rPr>
                <w:rFonts w:ascii="Arial" w:cs="Arial" w:eastAsia="Arial" w:hAnsi="Arial"/>
                <w:sz w:val="14"/>
                <w:szCs w:val="14"/>
                <w:color w:val="auto"/>
              </w:rPr>
              <w:t>Vested</w:t>
            </w:r>
          </w:p>
        </w:tc>
        <w:tc>
          <w:tcPr>
            <w:tcW w:w="15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(1,365)</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209.37</w:t>
            </w:r>
          </w:p>
        </w:tc>
        <w:tc>
          <w:tcPr>
            <w:tcW w:w="0" w:type="dxa"/>
            <w:vAlign w:val="bottom"/>
          </w:tcPr>
          <w:p>
            <w:pPr>
              <w:spacing w:after="0"/>
              <w:rPr>
                <w:sz w:val="1"/>
                <w:szCs w:val="1"/>
                <w:color w:val="auto"/>
              </w:rPr>
            </w:pPr>
          </w:p>
        </w:tc>
      </w:tr>
      <w:tr>
        <w:trPr>
          <w:trHeight w:val="185"/>
        </w:trPr>
        <w:tc>
          <w:tcPr>
            <w:tcW w:w="7260" w:type="dxa"/>
            <w:vAlign w:val="bottom"/>
          </w:tcPr>
          <w:p>
            <w:pPr>
              <w:ind w:left="680"/>
              <w:spacing w:after="0"/>
              <w:rPr>
                <w:sz w:val="20"/>
                <w:szCs w:val="20"/>
                <w:color w:val="auto"/>
              </w:rPr>
            </w:pPr>
            <w:r>
              <w:rPr>
                <w:rFonts w:ascii="Arial" w:cs="Arial" w:eastAsia="Arial" w:hAnsi="Arial"/>
                <w:sz w:val="14"/>
                <w:szCs w:val="14"/>
                <w:color w:val="auto"/>
              </w:rPr>
              <w:t>Canceled/Forfeited</w:t>
            </w:r>
          </w:p>
        </w:tc>
        <w:tc>
          <w:tcPr>
            <w:tcW w:w="1560" w:type="dxa"/>
            <w:vAlign w:val="bottom"/>
          </w:tcPr>
          <w:p>
            <w:pPr>
              <w:jc w:val="right"/>
              <w:spacing w:after="0"/>
              <w:rPr>
                <w:sz w:val="20"/>
                <w:szCs w:val="20"/>
                <w:color w:val="auto"/>
              </w:rPr>
            </w:pPr>
            <w:r>
              <w:rPr>
                <w:rFonts w:ascii="Arial" w:cs="Arial" w:eastAsia="Arial" w:hAnsi="Arial"/>
                <w:sz w:val="14"/>
                <w:szCs w:val="14"/>
                <w:color w:val="auto"/>
              </w:rPr>
              <w:t>(84)</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1120" w:type="dxa"/>
            <w:vAlign w:val="bottom"/>
          </w:tcPr>
          <w:p>
            <w:pPr>
              <w:jc w:val="right"/>
              <w:spacing w:after="0"/>
              <w:rPr>
                <w:sz w:val="20"/>
                <w:szCs w:val="20"/>
                <w:color w:val="auto"/>
              </w:rPr>
            </w:pPr>
            <w:r>
              <w:rPr>
                <w:rFonts w:ascii="Arial" w:cs="Arial" w:eastAsia="Arial" w:hAnsi="Arial"/>
                <w:sz w:val="14"/>
                <w:szCs w:val="14"/>
                <w:color w:val="auto"/>
              </w:rPr>
              <w:t>222.30</w:t>
            </w:r>
          </w:p>
        </w:tc>
        <w:tc>
          <w:tcPr>
            <w:tcW w:w="0" w:type="dxa"/>
            <w:vAlign w:val="bottom"/>
          </w:tcPr>
          <w:p>
            <w:pPr>
              <w:spacing w:after="0"/>
              <w:rPr>
                <w:sz w:val="1"/>
                <w:szCs w:val="1"/>
                <w:color w:val="auto"/>
              </w:rPr>
            </w:pPr>
          </w:p>
        </w:tc>
      </w:tr>
      <w:tr>
        <w:trPr>
          <w:trHeight w:val="190"/>
        </w:trPr>
        <w:tc>
          <w:tcPr>
            <w:tcW w:w="7260" w:type="dxa"/>
            <w:vAlign w:val="bottom"/>
            <w:shd w:val="clear" w:color="auto" w:fill="CCEEFF"/>
          </w:tcPr>
          <w:p>
            <w:pPr>
              <w:ind w:left="720"/>
              <w:spacing w:after="0"/>
              <w:rPr>
                <w:sz w:val="20"/>
                <w:szCs w:val="20"/>
                <w:color w:val="auto"/>
              </w:rPr>
            </w:pPr>
            <w:r>
              <w:rPr>
                <w:rFonts w:ascii="Arial" w:cs="Arial" w:eastAsia="Arial" w:hAnsi="Arial"/>
                <w:sz w:val="14"/>
                <w:szCs w:val="14"/>
                <w:color w:val="auto"/>
              </w:rPr>
              <w:t>Performance Adjustment (1)</w:t>
            </w:r>
          </w:p>
        </w:tc>
        <w:tc>
          <w:tcPr>
            <w:tcW w:w="15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(10)</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190.82</w:t>
            </w:r>
          </w:p>
        </w:tc>
        <w:tc>
          <w:tcPr>
            <w:tcW w:w="0" w:type="dxa"/>
            <w:vAlign w:val="bottom"/>
          </w:tcPr>
          <w:p>
            <w:pPr>
              <w:spacing w:after="0"/>
              <w:rPr>
                <w:sz w:val="1"/>
                <w:szCs w:val="1"/>
                <w:color w:val="auto"/>
              </w:rPr>
            </w:pPr>
          </w:p>
        </w:tc>
      </w:tr>
      <w:tr>
        <w:trPr>
          <w:trHeight w:val="179"/>
        </w:trPr>
        <w:tc>
          <w:tcPr>
            <w:tcW w:w="7260" w:type="dxa"/>
            <w:vAlign w:val="bottom"/>
          </w:tcPr>
          <w:p>
            <w:pPr>
              <w:ind w:left="400"/>
              <w:spacing w:after="0"/>
              <w:rPr>
                <w:sz w:val="20"/>
                <w:szCs w:val="20"/>
                <w:color w:val="auto"/>
              </w:rPr>
            </w:pPr>
            <w:r>
              <w:rPr>
                <w:rFonts w:ascii="Arial" w:cs="Arial" w:eastAsia="Arial" w:hAnsi="Arial"/>
                <w:sz w:val="14"/>
                <w:szCs w:val="14"/>
                <w:color w:val="auto"/>
              </w:rPr>
              <w:t>Unvested restricted stock units at April 30, 2023</w:t>
            </w:r>
          </w:p>
        </w:tc>
        <w:tc>
          <w:tcPr>
            <w:tcW w:w="1560" w:type="dxa"/>
            <w:vAlign w:val="bottom"/>
            <w:tcBorders>
              <w:bottom w:val="single" w:sz="8" w:color="auto"/>
            </w:tcBorders>
          </w:tcPr>
          <w:p>
            <w:pPr>
              <w:jc w:val="right"/>
              <w:ind w:right="12"/>
              <w:spacing w:after="0"/>
              <w:rPr>
                <w:sz w:val="20"/>
                <w:szCs w:val="20"/>
                <w:color w:val="auto"/>
              </w:rPr>
            </w:pPr>
            <w:r>
              <w:rPr>
                <w:rFonts w:ascii="Arial" w:cs="Arial" w:eastAsia="Arial" w:hAnsi="Arial"/>
                <w:sz w:val="14"/>
                <w:szCs w:val="14"/>
                <w:color w:val="auto"/>
              </w:rPr>
              <w:t>6,506</w:t>
            </w:r>
          </w:p>
        </w:tc>
        <w:tc>
          <w:tcPr>
            <w:tcW w:w="600" w:type="dxa"/>
            <w:vAlign w:val="bottom"/>
            <w:gridSpan w:val="2"/>
          </w:tcPr>
          <w:p>
            <w:pPr>
              <w:ind w:left="480"/>
              <w:spacing w:after="0"/>
              <w:rPr>
                <w:sz w:val="20"/>
                <w:szCs w:val="20"/>
                <w:color w:val="auto"/>
              </w:rPr>
            </w:pPr>
            <w:r>
              <w:rPr>
                <w:rFonts w:ascii="Arial" w:cs="Arial" w:eastAsia="Arial" w:hAnsi="Arial"/>
                <w:sz w:val="14"/>
                <w:szCs w:val="14"/>
                <w:color w:val="auto"/>
              </w:rPr>
              <w:t>$</w:t>
            </w:r>
          </w:p>
        </w:tc>
        <w:tc>
          <w:tcPr>
            <w:tcW w:w="1120" w:type="dxa"/>
            <w:vAlign w:val="bottom"/>
          </w:tcPr>
          <w:p>
            <w:pPr>
              <w:jc w:val="right"/>
              <w:spacing w:after="0"/>
              <w:rPr>
                <w:sz w:val="20"/>
                <w:szCs w:val="20"/>
                <w:color w:val="auto"/>
              </w:rPr>
            </w:pPr>
            <w:r>
              <w:rPr>
                <w:rFonts w:ascii="Arial" w:cs="Arial" w:eastAsia="Arial" w:hAnsi="Arial"/>
                <w:sz w:val="14"/>
                <w:szCs w:val="14"/>
                <w:color w:val="auto"/>
              </w:rPr>
              <w:t>209.21</w:t>
            </w:r>
          </w:p>
        </w:tc>
        <w:tc>
          <w:tcPr>
            <w:tcW w:w="0" w:type="dxa"/>
            <w:vAlign w:val="bottom"/>
          </w:tcPr>
          <w:p>
            <w:pPr>
              <w:spacing w:after="0"/>
              <w:rPr>
                <w:sz w:val="1"/>
                <w:szCs w:val="1"/>
                <w:color w:val="auto"/>
              </w:rPr>
            </w:pPr>
          </w:p>
        </w:tc>
      </w:tr>
      <w:tr>
        <w:trPr>
          <w:trHeight w:val="20"/>
        </w:trPr>
        <w:tc>
          <w:tcPr>
            <w:tcW w:w="726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63"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w:t>
      </w:r>
    </w:p>
    <w:p>
      <w:pPr>
        <w:spacing w:after="0" w:line="12" w:lineRule="exact"/>
        <w:rPr>
          <w:sz w:val="20"/>
          <w:szCs w:val="20"/>
          <w:color w:val="auto"/>
        </w:rPr>
      </w:pPr>
    </w:p>
    <w:p>
      <w:pPr>
        <w:ind w:left="360" w:right="360" w:hanging="356"/>
        <w:spacing w:after="0" w:line="256" w:lineRule="auto"/>
        <w:tabs>
          <w:tab w:leader="none" w:pos="372" w:val="left"/>
        </w:tabs>
        <w:numPr>
          <w:ilvl w:val="0"/>
          <w:numId w:val="9"/>
        </w:numPr>
        <w:rPr>
          <w:rFonts w:ascii="Arial" w:cs="Arial" w:eastAsia="Arial" w:hAnsi="Arial"/>
          <w:sz w:val="14"/>
          <w:szCs w:val="14"/>
          <w:color w:val="auto"/>
        </w:rPr>
      </w:pPr>
      <w:r>
        <w:rPr>
          <w:rFonts w:ascii="Arial" w:cs="Arial" w:eastAsia="Arial" w:hAnsi="Arial"/>
          <w:sz w:val="14"/>
          <w:szCs w:val="14"/>
          <w:color w:val="auto"/>
        </w:rPr>
        <w:t>Based on Autodesk's financial results and relative total stockholder return for the fiscal 2023 performance period. The performance stock units were attained at rates ranging from 86% to 110% of the target award.</w:t>
      </w:r>
    </w:p>
    <w:p>
      <w:pPr>
        <w:spacing w:after="0" w:line="198" w:lineRule="exact"/>
        <w:rPr>
          <w:rFonts w:ascii="Arial" w:cs="Arial" w:eastAsia="Arial" w:hAnsi="Arial"/>
          <w:sz w:val="14"/>
          <w:szCs w:val="14"/>
          <w:color w:val="auto"/>
        </w:rPr>
      </w:pPr>
    </w:p>
    <w:p>
      <w:pPr>
        <w:ind w:left="360"/>
        <w:spacing w:after="0"/>
        <w:rPr>
          <w:rFonts w:ascii="Arial" w:cs="Arial" w:eastAsia="Arial" w:hAnsi="Arial"/>
          <w:sz w:val="14"/>
          <w:szCs w:val="14"/>
          <w:color w:val="auto"/>
        </w:rPr>
      </w:pPr>
      <w:r>
        <w:rPr>
          <w:rFonts w:ascii="Arial" w:cs="Arial" w:eastAsia="Arial" w:hAnsi="Arial"/>
          <w:sz w:val="15"/>
          <w:szCs w:val="15"/>
          <w:color w:val="auto"/>
        </w:rPr>
        <w:t>The fair value of the shares vested during the three months ended April 30, 2023 and 2022 was $274 million and $214 million, respectively.</w:t>
      </w:r>
    </w:p>
    <w:p>
      <w:pPr>
        <w:spacing w:after="0" w:line="226" w:lineRule="exact"/>
        <w:rPr>
          <w:sz w:val="20"/>
          <w:szCs w:val="20"/>
          <w:color w:val="auto"/>
        </w:rPr>
      </w:pPr>
    </w:p>
    <w:p>
      <w:pPr>
        <w:ind w:right="520" w:firstLine="351"/>
        <w:spacing w:after="0" w:line="271" w:lineRule="auto"/>
        <w:rPr>
          <w:sz w:val="20"/>
          <w:szCs w:val="20"/>
          <w:color w:val="auto"/>
        </w:rPr>
      </w:pPr>
      <w:r>
        <w:rPr>
          <w:rFonts w:ascii="Arial" w:cs="Arial" w:eastAsia="Arial" w:hAnsi="Arial"/>
          <w:sz w:val="15"/>
          <w:szCs w:val="15"/>
          <w:color w:val="auto"/>
        </w:rPr>
        <w:t>During the three months ended April 30, 2023, Autodesk granted 2,806 thousand restricted stock units. Restricted stock units are not considered outstanding stock at the time of grant, as the holders of these units are not entitled to any of the rights of a stockholder, including voting rights.</w:t>
      </w:r>
    </w:p>
    <w:p>
      <w:pPr>
        <w:spacing w:after="0" w:line="185" w:lineRule="exact"/>
        <w:rPr>
          <w:sz w:val="20"/>
          <w:szCs w:val="20"/>
          <w:color w:val="auto"/>
        </w:rPr>
      </w:pPr>
    </w:p>
    <w:p>
      <w:pPr>
        <w:ind w:right="80" w:firstLine="351"/>
        <w:spacing w:after="0" w:line="271" w:lineRule="auto"/>
        <w:rPr>
          <w:sz w:val="20"/>
          <w:szCs w:val="20"/>
          <w:color w:val="auto"/>
        </w:rPr>
      </w:pPr>
      <w:r>
        <w:rPr>
          <w:rFonts w:ascii="Arial" w:cs="Arial" w:eastAsia="Arial" w:hAnsi="Arial"/>
          <w:sz w:val="15"/>
          <w:szCs w:val="15"/>
          <w:color w:val="auto"/>
        </w:rPr>
        <w:t>Autodesk recorded stock-based compensation expense related to restricted stock units of $130 million and $117 million during the three months ended April 30, 2023 and 2022, respectively.</w:t>
      </w:r>
    </w:p>
    <w:p>
      <w:pPr>
        <w:spacing w:after="0" w:line="185" w:lineRule="exact"/>
        <w:rPr>
          <w:sz w:val="20"/>
          <w:szCs w:val="20"/>
          <w:color w:val="auto"/>
        </w:rPr>
      </w:pPr>
    </w:p>
    <w:p>
      <w:pPr>
        <w:ind w:right="140" w:firstLine="351"/>
        <w:spacing w:after="0" w:line="253" w:lineRule="auto"/>
        <w:rPr>
          <w:sz w:val="20"/>
          <w:szCs w:val="20"/>
          <w:color w:val="auto"/>
        </w:rPr>
      </w:pPr>
      <w:r>
        <w:rPr>
          <w:rFonts w:ascii="Arial" w:cs="Arial" w:eastAsia="Arial" w:hAnsi="Arial"/>
          <w:sz w:val="15"/>
          <w:szCs w:val="15"/>
          <w:color w:val="auto"/>
        </w:rPr>
        <w:t>During the three months ended April 30, 2023, Autodesk settled liability -classified awards in the amount of $1 million. There were no settlement of liability-classified awards during the three months ended April 30, 2022. The ultimate number of shares earned was based on the Autodesk closing stock price on the vesting date. As these awards were settled in a fixed dollar amount of shares, the awards were accounted for as a liability-classified award and were expensed using the straight-line method over the vesting period.</w:t>
      </w:r>
    </w:p>
    <w:p>
      <w:pPr>
        <w:spacing w:after="0" w:line="198" w:lineRule="exact"/>
        <w:rPr>
          <w:sz w:val="20"/>
          <w:szCs w:val="20"/>
          <w:color w:val="auto"/>
        </w:rPr>
      </w:pPr>
    </w:p>
    <w:p>
      <w:pPr>
        <w:ind w:right="240" w:firstLine="351"/>
        <w:spacing w:after="0" w:line="249" w:lineRule="auto"/>
        <w:rPr>
          <w:sz w:val="20"/>
          <w:szCs w:val="20"/>
          <w:color w:val="auto"/>
        </w:rPr>
      </w:pPr>
      <w:r>
        <w:rPr>
          <w:rFonts w:ascii="Arial" w:cs="Arial" w:eastAsia="Arial" w:hAnsi="Arial"/>
          <w:sz w:val="15"/>
          <w:szCs w:val="15"/>
          <w:color w:val="auto"/>
        </w:rPr>
        <w:t>During the three months ended April 30, 2023, Autodesk granted 311 thousand performance stock units for which the ultimate number of shares earned is determined based on the achievement of performance criteria at the end of the stated service and performance period. The performance criteria for the performance stock units are primarily based on revenue and free cash flow goals adopted by the Compensation and Human Resource Committee and total stockholder return compared against companies in the S&amp;P North American Technology Software Index with a market capitalization over $2.0 billion (“Relative TSR”). The fair value of the performance stock units is expensed using the accelerated attribution method over the three-year vesting period and have the following vesting schedule:</w:t>
      </w:r>
    </w:p>
    <w:p>
      <w:pPr>
        <w:spacing w:after="0" w:line="200" w:lineRule="exact"/>
        <w:rPr>
          <w:sz w:val="20"/>
          <w:szCs w:val="20"/>
          <w:color w:val="auto"/>
        </w:rPr>
      </w:pPr>
    </w:p>
    <w:p>
      <w:pPr>
        <w:spacing w:after="0" w:line="273"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16" w:name="page17"/>
    <w:bookmarkEnd w:id="16"/>
    <w:p>
      <w:pPr>
        <w:spacing w:after="0" w:line="13" w:lineRule="exact"/>
        <w:rPr>
          <w:sz w:val="20"/>
          <w:szCs w:val="20"/>
          <w:color w:val="auto"/>
        </w:rPr>
      </w:pPr>
    </w:p>
    <w:p>
      <w:pPr>
        <w:ind w:left="560" w:right="260" w:hanging="275"/>
        <w:spacing w:after="0" w:line="271" w:lineRule="auto"/>
        <w:tabs>
          <w:tab w:leader="none" w:pos="560" w:val="left"/>
        </w:tabs>
        <w:numPr>
          <w:ilvl w:val="0"/>
          <w:numId w:val="10"/>
        </w:numPr>
        <w:rPr>
          <w:rFonts w:ascii="Arial" w:cs="Arial" w:eastAsia="Arial" w:hAnsi="Arial"/>
          <w:sz w:val="15"/>
          <w:szCs w:val="15"/>
          <w:color w:val="auto"/>
        </w:rPr>
      </w:pPr>
      <w:r>
        <w:rPr>
          <w:rFonts w:ascii="Arial" w:cs="Arial" w:eastAsia="Arial" w:hAnsi="Arial"/>
          <w:sz w:val="15"/>
          <w:szCs w:val="15"/>
          <w:color w:val="auto"/>
        </w:rPr>
        <w:t>Up to one third of the performance stock units may vest following year one, depending upon the achievement of the performance criteria for fiscal 2024 as well as 1-year Relative TSR (covering year one).</w:t>
      </w:r>
    </w:p>
    <w:p>
      <w:pPr>
        <w:spacing w:after="0" w:line="184" w:lineRule="exact"/>
        <w:rPr>
          <w:rFonts w:ascii="Arial" w:cs="Arial" w:eastAsia="Arial" w:hAnsi="Arial"/>
          <w:sz w:val="15"/>
          <w:szCs w:val="15"/>
          <w:color w:val="auto"/>
        </w:rPr>
      </w:pPr>
    </w:p>
    <w:p>
      <w:pPr>
        <w:ind w:left="560" w:right="40" w:hanging="275"/>
        <w:spacing w:after="0" w:line="271" w:lineRule="auto"/>
        <w:tabs>
          <w:tab w:leader="none" w:pos="560" w:val="left"/>
        </w:tabs>
        <w:numPr>
          <w:ilvl w:val="0"/>
          <w:numId w:val="10"/>
        </w:numPr>
        <w:rPr>
          <w:rFonts w:ascii="Arial" w:cs="Arial" w:eastAsia="Arial" w:hAnsi="Arial"/>
          <w:sz w:val="15"/>
          <w:szCs w:val="15"/>
          <w:color w:val="auto"/>
        </w:rPr>
      </w:pPr>
      <w:r>
        <w:rPr>
          <w:rFonts w:ascii="Arial" w:cs="Arial" w:eastAsia="Arial" w:hAnsi="Arial"/>
          <w:sz w:val="15"/>
          <w:szCs w:val="15"/>
          <w:color w:val="auto"/>
        </w:rPr>
        <w:t>Up to one third of the performance stock units may vest following year two, depending upon the achievement of the performance criteria for year two as well as 2-year Relative TSR (covering years one and two).</w:t>
      </w:r>
    </w:p>
    <w:p>
      <w:pPr>
        <w:spacing w:after="0" w:line="184" w:lineRule="exact"/>
        <w:rPr>
          <w:rFonts w:ascii="Arial" w:cs="Arial" w:eastAsia="Arial" w:hAnsi="Arial"/>
          <w:sz w:val="15"/>
          <w:szCs w:val="15"/>
          <w:color w:val="auto"/>
        </w:rPr>
      </w:pPr>
    </w:p>
    <w:p>
      <w:pPr>
        <w:ind w:left="560" w:right="220" w:hanging="275"/>
        <w:spacing w:after="0" w:line="271" w:lineRule="auto"/>
        <w:tabs>
          <w:tab w:leader="none" w:pos="560" w:val="left"/>
        </w:tabs>
        <w:numPr>
          <w:ilvl w:val="0"/>
          <w:numId w:val="10"/>
        </w:numPr>
        <w:rPr>
          <w:rFonts w:ascii="Arial" w:cs="Arial" w:eastAsia="Arial" w:hAnsi="Arial"/>
          <w:sz w:val="15"/>
          <w:szCs w:val="15"/>
          <w:color w:val="auto"/>
        </w:rPr>
      </w:pPr>
      <w:r>
        <w:rPr>
          <w:rFonts w:ascii="Arial" w:cs="Arial" w:eastAsia="Arial" w:hAnsi="Arial"/>
          <w:sz w:val="15"/>
          <w:szCs w:val="15"/>
          <w:color w:val="auto"/>
        </w:rPr>
        <w:t>Up to one third of the performance stock units may vest following year three, depending upon the achievement of the performance criteria for year three as well as 3-year Relative TSR (covering years one, two and three).</w:t>
      </w:r>
    </w:p>
    <w:p>
      <w:pPr>
        <w:spacing w:after="0" w:line="185" w:lineRule="exact"/>
        <w:rPr>
          <w:sz w:val="20"/>
          <w:szCs w:val="20"/>
          <w:color w:val="auto"/>
        </w:rPr>
      </w:pPr>
    </w:p>
    <w:p>
      <w:pPr>
        <w:ind w:right="280" w:firstLine="351"/>
        <w:spacing w:after="0" w:line="255" w:lineRule="auto"/>
        <w:rPr>
          <w:sz w:val="20"/>
          <w:szCs w:val="20"/>
          <w:color w:val="auto"/>
        </w:rPr>
      </w:pPr>
      <w:r>
        <w:rPr>
          <w:rFonts w:ascii="Arial" w:cs="Arial" w:eastAsia="Arial" w:hAnsi="Arial"/>
          <w:sz w:val="15"/>
          <w:szCs w:val="15"/>
          <w:color w:val="auto"/>
        </w:rPr>
        <w:t>The performance criteria for the performance stock units vested during the three months ended April 30, 2023, was based on revenue and free cash flow goals adopted by the Compensation and Human Resource Committee.</w:t>
      </w:r>
    </w:p>
    <w:p>
      <w:pPr>
        <w:spacing w:after="0" w:line="184" w:lineRule="exact"/>
        <w:rPr>
          <w:sz w:val="20"/>
          <w:szCs w:val="20"/>
          <w:color w:val="auto"/>
        </w:rPr>
      </w:pPr>
    </w:p>
    <w:p>
      <w:pPr>
        <w:ind w:right="120" w:firstLine="351"/>
        <w:spacing w:after="0" w:line="255" w:lineRule="auto"/>
        <w:rPr>
          <w:sz w:val="20"/>
          <w:szCs w:val="20"/>
          <w:color w:val="auto"/>
        </w:rPr>
      </w:pPr>
      <w:r>
        <w:rPr>
          <w:rFonts w:ascii="Arial" w:cs="Arial" w:eastAsia="Arial" w:hAnsi="Arial"/>
          <w:sz w:val="15"/>
          <w:szCs w:val="15"/>
          <w:color w:val="auto"/>
        </w:rPr>
        <w:t>Performance stock units are not considered outstanding stock at the time of grant, as the holders of these units are not entitled to any of the rights of a stockholder, including voting rights.</w:t>
      </w:r>
    </w:p>
    <w:p>
      <w:pPr>
        <w:spacing w:after="0" w:line="184" w:lineRule="exact"/>
        <w:rPr>
          <w:sz w:val="20"/>
          <w:szCs w:val="20"/>
          <w:color w:val="auto"/>
        </w:rPr>
      </w:pPr>
    </w:p>
    <w:p>
      <w:pPr>
        <w:ind w:right="280" w:firstLine="351"/>
        <w:spacing w:after="0" w:line="271" w:lineRule="auto"/>
        <w:rPr>
          <w:sz w:val="20"/>
          <w:szCs w:val="20"/>
          <w:color w:val="auto"/>
        </w:rPr>
      </w:pPr>
      <w:r>
        <w:rPr>
          <w:rFonts w:ascii="Arial" w:cs="Arial" w:eastAsia="Arial" w:hAnsi="Arial"/>
          <w:sz w:val="15"/>
          <w:szCs w:val="15"/>
          <w:color w:val="auto"/>
        </w:rPr>
        <w:t>Autodesk recorded stock-based compensation expense related to performance stock units of $11 million and $15 million for the three months ended April 30, 2023 and 2022, respectively.</w:t>
      </w:r>
    </w:p>
    <w:p>
      <w:pPr>
        <w:spacing w:after="0" w:line="179" w:lineRule="exact"/>
        <w:rPr>
          <w:sz w:val="20"/>
          <w:szCs w:val="20"/>
          <w:color w:val="auto"/>
        </w:rPr>
      </w:pPr>
    </w:p>
    <w:p>
      <w:pPr>
        <w:ind w:left="140"/>
        <w:spacing w:after="0"/>
        <w:rPr>
          <w:sz w:val="20"/>
          <w:szCs w:val="20"/>
          <w:color w:val="auto"/>
        </w:rPr>
      </w:pPr>
      <w:r>
        <w:rPr>
          <w:rFonts w:ascii="Arial" w:cs="Arial" w:eastAsia="Arial" w:hAnsi="Arial"/>
          <w:sz w:val="15"/>
          <w:szCs w:val="15"/>
          <w:i w:val="1"/>
          <w:iCs w:val="1"/>
          <w:color w:val="auto"/>
        </w:rPr>
        <w:t>Common Stock</w:t>
      </w:r>
    </w:p>
    <w:p>
      <w:pPr>
        <w:spacing w:after="0" w:line="232" w:lineRule="exact"/>
        <w:rPr>
          <w:sz w:val="20"/>
          <w:szCs w:val="20"/>
          <w:color w:val="auto"/>
        </w:rPr>
      </w:pPr>
    </w:p>
    <w:p>
      <w:pPr>
        <w:ind w:right="40" w:firstLine="387"/>
        <w:spacing w:after="0" w:line="235" w:lineRule="auto"/>
        <w:rPr>
          <w:sz w:val="20"/>
          <w:szCs w:val="20"/>
          <w:color w:val="auto"/>
        </w:rPr>
      </w:pPr>
      <w:r>
        <w:rPr>
          <w:rFonts w:ascii="Arial" w:cs="Arial" w:eastAsia="Arial" w:hAnsi="Arial"/>
          <w:sz w:val="15"/>
          <w:szCs w:val="15"/>
          <w:color w:val="auto"/>
        </w:rPr>
        <w:t>Autodesk agreed to issue a fixed amount of $ 13 million in shares of common stock to certain employees in connection with a fiscal 2022 acquisition. Issuance of the common stock is dependent on the respective employees’ continued employment through the vesting period. The number of shares to be issued will be determined based on the volume weighted average closing price (“VWAP”) of Autodesk’s common stock for the ninety consecutive trading day period ending on the release date. As of April 30, 2023, the remaining shares to be issued are estimated to be 39 thousand. The awards are accrued as liability-classified awards and are recognized as compensation expense using the straight-line method over the vesting period.</w:t>
      </w:r>
    </w:p>
    <w:p>
      <w:pPr>
        <w:spacing w:after="0" w:line="198" w:lineRule="exact"/>
        <w:rPr>
          <w:sz w:val="20"/>
          <w:szCs w:val="20"/>
          <w:color w:val="auto"/>
        </w:rPr>
      </w:pPr>
    </w:p>
    <w:p>
      <w:pPr>
        <w:ind w:right="80" w:firstLine="387"/>
        <w:spacing w:after="0" w:line="235" w:lineRule="auto"/>
        <w:rPr>
          <w:sz w:val="20"/>
          <w:szCs w:val="20"/>
          <w:color w:val="auto"/>
        </w:rPr>
      </w:pPr>
      <w:r>
        <w:rPr>
          <w:rFonts w:ascii="Arial" w:cs="Arial" w:eastAsia="Arial" w:hAnsi="Arial"/>
          <w:sz w:val="15"/>
          <w:szCs w:val="15"/>
          <w:color w:val="auto"/>
        </w:rPr>
        <w:t>Autodesk agreed to issue a fixed amount of $11 million in common stock at a future date to certain employees in connection with other fiscal 2022 acquisitions. Issuance of the common stock is dependent on the respective employees’ continued employment through the vesting period. The number of shares to be issued will be determined based on the VWAP of Autodesk’s common stock at the issuance date. As of April 30, 2023, remaining shares to be issued are estimated to be 34 thousand. The awards are accounted for as liability-classified awards and are recognized as compensation expense using the straight-line method over the vesting period.</w:t>
      </w:r>
    </w:p>
    <w:p>
      <w:pPr>
        <w:spacing w:after="0" w:line="198" w:lineRule="exact"/>
        <w:rPr>
          <w:sz w:val="20"/>
          <w:szCs w:val="20"/>
          <w:color w:val="auto"/>
        </w:rPr>
      </w:pPr>
    </w:p>
    <w:p>
      <w:pPr>
        <w:ind w:firstLine="351"/>
        <w:spacing w:after="0" w:line="232" w:lineRule="auto"/>
        <w:rPr>
          <w:sz w:val="20"/>
          <w:szCs w:val="20"/>
          <w:color w:val="auto"/>
        </w:rPr>
      </w:pPr>
      <w:r>
        <w:rPr>
          <w:rFonts w:ascii="Arial" w:cs="Arial" w:eastAsia="Arial" w:hAnsi="Arial"/>
          <w:sz w:val="15"/>
          <w:szCs w:val="15"/>
          <w:color w:val="auto"/>
        </w:rPr>
        <w:t>Autodesk issued 40 thousand shares of restricted common stock to certain employees in connection with a fiscal 2023 acquisition. These shares of restricted common stock were recorded as “Prepaid expenses and other current assets” and “Long-term other assets” on our Condensed Consolidated Balance Sheets and will be amortized to stock-based compensation expense for post-acquisition services using the straight-line method over the two-year vesting period. Additionally, Autodesk agreed to issue a fixed amount of $5 million in common stock at a future date to certain employees in connection with a fiscal 2023 acquisition. Issuance of the common stock is dependent on the respective employees’ continued employment through the vesting period. The number of shares to be issued will be determined based on the VWAP of Autodesk’s common stock at the issuance date. During the three months ended April 30, 2023, Autodesk issued 9 thousand shares at an aggregate fair value of $2 million. Remaining shares to be issued are estimated to be 14 thousand as of April 30, 2023. The awards are accounted for as liability-classified awards and are recognized as compensation expense using the straight-line method over the vesting period.</w:t>
      </w:r>
    </w:p>
    <w:p>
      <w:pPr>
        <w:spacing w:after="0" w:line="198" w:lineRule="exact"/>
        <w:rPr>
          <w:sz w:val="20"/>
          <w:szCs w:val="20"/>
          <w:color w:val="auto"/>
        </w:rPr>
      </w:pPr>
    </w:p>
    <w:p>
      <w:pPr>
        <w:jc w:val="both"/>
        <w:ind w:right="120" w:firstLine="387"/>
        <w:spacing w:after="0" w:line="255" w:lineRule="auto"/>
        <w:rPr>
          <w:sz w:val="20"/>
          <w:szCs w:val="20"/>
          <w:color w:val="auto"/>
        </w:rPr>
      </w:pPr>
      <w:r>
        <w:rPr>
          <w:rFonts w:ascii="Arial" w:cs="Arial" w:eastAsia="Arial" w:hAnsi="Arial"/>
          <w:sz w:val="15"/>
          <w:szCs w:val="15"/>
          <w:color w:val="auto"/>
        </w:rPr>
        <w:t>Autodesk recorded stock-based compensation expense related to common stock shares of $6 million and $10 million for the three months ended April 30, 2023 and 2022, respectively.</w:t>
      </w:r>
    </w:p>
    <w:p>
      <w:pPr>
        <w:spacing w:after="0" w:line="178"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1998 Employee Qualified Stock Purchase Plan (“ESPP”)</w:t>
      </w:r>
    </w:p>
    <w:p>
      <w:pPr>
        <w:spacing w:after="0" w:line="232" w:lineRule="exact"/>
        <w:rPr>
          <w:sz w:val="20"/>
          <w:szCs w:val="20"/>
          <w:color w:val="auto"/>
        </w:rPr>
      </w:pPr>
    </w:p>
    <w:p>
      <w:pPr>
        <w:jc w:val="both"/>
        <w:ind w:right="120" w:firstLine="387"/>
        <w:spacing w:after="0" w:line="257" w:lineRule="auto"/>
        <w:rPr>
          <w:sz w:val="20"/>
          <w:szCs w:val="20"/>
          <w:color w:val="auto"/>
        </w:rPr>
      </w:pPr>
      <w:r>
        <w:rPr>
          <w:rFonts w:ascii="Arial" w:cs="Arial" w:eastAsia="Arial" w:hAnsi="Arial"/>
          <w:sz w:val="15"/>
          <w:szCs w:val="15"/>
          <w:color w:val="auto"/>
        </w:rPr>
        <w:t>Under Autodesk’s ESPP, which was approved by stockholders in 1998, eligible employees may purchase shares of Autodesk’s common stock at their discretion using up to 15% of their eligible compensation, subject to certain limitations, at 85% of the lower of Autodesk's closing price (fair market value) on the offering date or the exercise date. The offering period for ESPP awards consists of four, six-month exercise periods within a 24-month offering period.</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440" w:right="660" w:bottom="1440" w:gutter="0" w:footer="0" w:header="0"/>
        </w:sectPr>
      </w:pPr>
    </w:p>
    <w:bookmarkStart w:id="17" w:name="page18"/>
    <w:bookmarkEnd w:id="17"/>
    <w:p>
      <w:pPr>
        <w:ind w:left="400"/>
        <w:spacing w:after="0"/>
        <w:rPr>
          <w:sz w:val="20"/>
          <w:szCs w:val="20"/>
          <w:color w:val="auto"/>
        </w:rPr>
      </w:pPr>
      <w:r>
        <w:rPr>
          <w:rFonts w:ascii="Arial" w:cs="Arial" w:eastAsia="Arial" w:hAnsi="Arial"/>
          <w:sz w:val="15"/>
          <w:szCs w:val="15"/>
          <w:color w:val="auto"/>
        </w:rPr>
        <w:t>A summary of the ESPP activity for the three months ended April 30, 2023 and 2022, is as follows:</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680" w:type="dxa"/>
            <w:vAlign w:val="bottom"/>
          </w:tcPr>
          <w:p>
            <w:pPr>
              <w:spacing w:after="0"/>
              <w:rPr>
                <w:sz w:val="15"/>
                <w:szCs w:val="15"/>
                <w:color w:val="auto"/>
              </w:rPr>
            </w:pPr>
          </w:p>
        </w:tc>
        <w:tc>
          <w:tcPr>
            <w:tcW w:w="2380" w:type="dxa"/>
            <w:vAlign w:val="bottom"/>
            <w:tcBorders>
              <w:bottom w:val="single" w:sz="8" w:color="auto"/>
            </w:tcBorders>
            <w:gridSpan w:val="4"/>
          </w:tcPr>
          <w:p>
            <w:pPr>
              <w:jc w:val="right"/>
              <w:ind w:right="20"/>
              <w:spacing w:after="0"/>
              <w:rPr>
                <w:sz w:val="20"/>
                <w:szCs w:val="20"/>
                <w:color w:val="auto"/>
              </w:rPr>
            </w:pPr>
            <w:r>
              <w:rPr>
                <w:rFonts w:ascii="Arial" w:cs="Arial" w:eastAsia="Arial" w:hAnsi="Arial"/>
                <w:sz w:val="13"/>
                <w:szCs w:val="13"/>
                <w:b w:val="1"/>
                <w:bCs w:val="1"/>
                <w:color w:val="auto"/>
              </w:rPr>
              <w:t>Three Months Ended April 30,</w:t>
            </w:r>
          </w:p>
        </w:tc>
        <w:tc>
          <w:tcPr>
            <w:tcW w:w="520" w:type="dxa"/>
            <w:vAlign w:val="bottom"/>
            <w:tcBorders>
              <w:bottom w:val="single" w:sz="8" w:color="auto"/>
            </w:tcBorders>
          </w:tcPr>
          <w:p>
            <w:pPr>
              <w:spacing w:after="0"/>
              <w:rPr>
                <w:sz w:val="15"/>
                <w:szCs w:val="15"/>
                <w:color w:val="auto"/>
              </w:rPr>
            </w:pPr>
          </w:p>
        </w:tc>
      </w:tr>
      <w:tr>
        <w:trPr>
          <w:trHeight w:val="167"/>
        </w:trPr>
        <w:tc>
          <w:tcPr>
            <w:tcW w:w="76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b w:val="1"/>
                <w:bCs w:val="1"/>
                <w:color w:val="auto"/>
              </w:rPr>
              <w:t>2023</w:t>
            </w:r>
          </w:p>
        </w:tc>
        <w:tc>
          <w:tcPr>
            <w:tcW w:w="520" w:type="dxa"/>
            <w:vAlign w:val="bottom"/>
          </w:tcPr>
          <w:p>
            <w:pPr>
              <w:spacing w:after="0"/>
              <w:rPr>
                <w:sz w:val="14"/>
                <w:szCs w:val="14"/>
                <w:color w:val="auto"/>
              </w:rPr>
            </w:pPr>
          </w:p>
        </w:tc>
        <w:tc>
          <w:tcPr>
            <w:tcW w:w="980" w:type="dxa"/>
            <w:vAlign w:val="bottom"/>
            <w:gridSpan w:val="2"/>
          </w:tcPr>
          <w:p>
            <w:pPr>
              <w:jc w:val="right"/>
              <w:ind w:right="40"/>
              <w:spacing w:after="0"/>
              <w:rPr>
                <w:sz w:val="20"/>
                <w:szCs w:val="20"/>
                <w:color w:val="auto"/>
              </w:rPr>
            </w:pPr>
            <w:r>
              <w:rPr>
                <w:rFonts w:ascii="Arial" w:cs="Arial" w:eastAsia="Arial" w:hAnsi="Arial"/>
                <w:sz w:val="13"/>
                <w:szCs w:val="13"/>
                <w:b w:val="1"/>
                <w:bCs w:val="1"/>
                <w:color w:val="auto"/>
              </w:rPr>
              <w:t>2022</w:t>
            </w:r>
          </w:p>
        </w:tc>
        <w:tc>
          <w:tcPr>
            <w:tcW w:w="520" w:type="dxa"/>
            <w:vAlign w:val="bottom"/>
          </w:tcPr>
          <w:p>
            <w:pPr>
              <w:spacing w:after="0"/>
              <w:rPr>
                <w:sz w:val="14"/>
                <w:szCs w:val="14"/>
                <w:color w:val="auto"/>
              </w:rPr>
            </w:pPr>
          </w:p>
        </w:tc>
      </w:tr>
      <w:tr>
        <w:trPr>
          <w:trHeight w:val="179"/>
        </w:trPr>
        <w:tc>
          <w:tcPr>
            <w:tcW w:w="768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Issued shares (in thousands)</w:t>
            </w:r>
          </w:p>
        </w:tc>
        <w:tc>
          <w:tcPr>
            <w:tcW w:w="880" w:type="dxa"/>
            <w:vAlign w:val="bottom"/>
            <w:tcBorders>
              <w:top w:val="single" w:sz="8" w:color="auto"/>
            </w:tcBorders>
            <w:shd w:val="clear" w:color="auto" w:fill="CCEEFF"/>
          </w:tcPr>
          <w:p>
            <w:pPr>
              <w:spacing w:after="0"/>
              <w:rPr>
                <w:sz w:val="15"/>
                <w:szCs w:val="15"/>
                <w:color w:val="auto"/>
              </w:rPr>
            </w:pPr>
          </w:p>
        </w:tc>
        <w:tc>
          <w:tcPr>
            <w:tcW w:w="52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434</w:t>
            </w:r>
          </w:p>
        </w:tc>
        <w:tc>
          <w:tcPr>
            <w:tcW w:w="100" w:type="dxa"/>
            <w:vAlign w:val="bottom"/>
            <w:tcBorders>
              <w:top w:val="single" w:sz="8" w:color="CCEEFF"/>
            </w:tcBorders>
            <w:shd w:val="clear" w:color="auto" w:fill="CCEEFF"/>
          </w:tcPr>
          <w:p>
            <w:pPr>
              <w:spacing w:after="0"/>
              <w:rPr>
                <w:sz w:val="15"/>
                <w:szCs w:val="15"/>
                <w:color w:val="auto"/>
              </w:rPr>
            </w:pPr>
          </w:p>
        </w:tc>
        <w:tc>
          <w:tcPr>
            <w:tcW w:w="880" w:type="dxa"/>
            <w:vAlign w:val="bottom"/>
            <w:tcBorders>
              <w:top w:val="single" w:sz="8" w:color="auto"/>
            </w:tcBorders>
            <w:shd w:val="clear" w:color="auto" w:fill="CCEEFF"/>
          </w:tcPr>
          <w:p>
            <w:pPr>
              <w:spacing w:after="0"/>
              <w:rPr>
                <w:sz w:val="15"/>
                <w:szCs w:val="15"/>
                <w:color w:val="auto"/>
              </w:rPr>
            </w:pPr>
          </w:p>
        </w:tc>
        <w:tc>
          <w:tcPr>
            <w:tcW w:w="52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377</w:t>
            </w:r>
          </w:p>
        </w:tc>
      </w:tr>
      <w:tr>
        <w:trPr>
          <w:trHeight w:val="185"/>
        </w:trPr>
        <w:tc>
          <w:tcPr>
            <w:tcW w:w="7680" w:type="dxa"/>
            <w:vAlign w:val="bottom"/>
          </w:tcPr>
          <w:p>
            <w:pPr>
              <w:ind w:left="20"/>
              <w:spacing w:after="0"/>
              <w:rPr>
                <w:sz w:val="20"/>
                <w:szCs w:val="20"/>
                <w:color w:val="auto"/>
              </w:rPr>
            </w:pPr>
            <w:r>
              <w:rPr>
                <w:rFonts w:ascii="Arial" w:cs="Arial" w:eastAsia="Arial" w:hAnsi="Arial"/>
                <w:sz w:val="14"/>
                <w:szCs w:val="14"/>
                <w:color w:val="auto"/>
              </w:rPr>
              <w:t>Average price of issued shares</w:t>
            </w:r>
          </w:p>
        </w:tc>
        <w:tc>
          <w:tcPr>
            <w:tcW w:w="880" w:type="dxa"/>
            <w:vAlign w:val="bottom"/>
          </w:tcPr>
          <w:p>
            <w:pPr>
              <w:jc w:val="right"/>
              <w:ind w:right="713"/>
              <w:spacing w:after="0"/>
              <w:rPr>
                <w:sz w:val="20"/>
                <w:szCs w:val="20"/>
                <w:color w:val="auto"/>
              </w:rPr>
            </w:pPr>
            <w:r>
              <w:rPr>
                <w:rFonts w:ascii="Arial" w:cs="Arial" w:eastAsia="Arial" w:hAnsi="Arial"/>
                <w:sz w:val="14"/>
                <w:szCs w:val="14"/>
                <w:color w:val="auto"/>
              </w:rPr>
              <w:t>$</w:t>
            </w:r>
          </w:p>
        </w:tc>
        <w:tc>
          <w:tcPr>
            <w:tcW w:w="520" w:type="dxa"/>
            <w:vAlign w:val="bottom"/>
          </w:tcPr>
          <w:p>
            <w:pPr>
              <w:jc w:val="right"/>
              <w:spacing w:after="0"/>
              <w:rPr>
                <w:sz w:val="20"/>
                <w:szCs w:val="20"/>
                <w:color w:val="auto"/>
              </w:rPr>
            </w:pPr>
            <w:r>
              <w:rPr>
                <w:rFonts w:ascii="Arial" w:cs="Arial" w:eastAsia="Arial" w:hAnsi="Arial"/>
                <w:sz w:val="14"/>
                <w:szCs w:val="14"/>
                <w:color w:val="auto"/>
              </w:rPr>
              <w:t>163.59</w:t>
            </w:r>
          </w:p>
        </w:tc>
        <w:tc>
          <w:tcPr>
            <w:tcW w:w="980" w:type="dxa"/>
            <w:vAlign w:val="bottom"/>
            <w:gridSpan w:val="2"/>
          </w:tcPr>
          <w:p>
            <w:pPr>
              <w:jc w:val="right"/>
              <w:ind w:right="800"/>
              <w:spacing w:after="0"/>
              <w:rPr>
                <w:sz w:val="20"/>
                <w:szCs w:val="20"/>
                <w:color w:val="auto"/>
              </w:rPr>
            </w:pPr>
            <w:r>
              <w:rPr>
                <w:rFonts w:ascii="Arial" w:cs="Arial" w:eastAsia="Arial" w:hAnsi="Arial"/>
                <w:sz w:val="14"/>
                <w:szCs w:val="14"/>
                <w:color w:val="auto"/>
              </w:rPr>
              <w:t>$</w:t>
            </w:r>
          </w:p>
        </w:tc>
        <w:tc>
          <w:tcPr>
            <w:tcW w:w="520" w:type="dxa"/>
            <w:vAlign w:val="bottom"/>
          </w:tcPr>
          <w:p>
            <w:pPr>
              <w:jc w:val="right"/>
              <w:ind w:right="10"/>
              <w:spacing w:after="0"/>
              <w:rPr>
                <w:sz w:val="20"/>
                <w:szCs w:val="20"/>
                <w:color w:val="auto"/>
              </w:rPr>
            </w:pPr>
            <w:r>
              <w:rPr>
                <w:rFonts w:ascii="Arial" w:cs="Arial" w:eastAsia="Arial" w:hAnsi="Arial"/>
                <w:sz w:val="14"/>
                <w:szCs w:val="14"/>
                <w:color w:val="auto"/>
                <w:w w:val="97"/>
              </w:rPr>
              <w:t>173.83</w:t>
            </w:r>
          </w:p>
        </w:tc>
      </w:tr>
      <w:tr>
        <w:trPr>
          <w:trHeight w:val="190"/>
        </w:trPr>
        <w:tc>
          <w:tcPr>
            <w:tcW w:w="7680" w:type="dxa"/>
            <w:vAlign w:val="bottom"/>
            <w:shd w:val="clear" w:color="auto" w:fill="CCEEFF"/>
          </w:tcPr>
          <w:p>
            <w:pPr>
              <w:ind w:left="20"/>
              <w:spacing w:after="0"/>
              <w:rPr>
                <w:sz w:val="20"/>
                <w:szCs w:val="20"/>
                <w:color w:val="auto"/>
              </w:rPr>
            </w:pPr>
            <w:r>
              <w:rPr>
                <w:rFonts w:ascii="Arial" w:cs="Arial" w:eastAsia="Arial" w:hAnsi="Arial"/>
                <w:sz w:val="14"/>
                <w:szCs w:val="14"/>
                <w:color w:val="auto"/>
              </w:rPr>
              <w:t>Weighted average grant date fair value of shares granted under the ESPP (1)</w:t>
            </w:r>
          </w:p>
        </w:tc>
        <w:tc>
          <w:tcPr>
            <w:tcW w:w="880" w:type="dxa"/>
            <w:vAlign w:val="bottom"/>
            <w:shd w:val="clear" w:color="auto" w:fill="CCEEFF"/>
          </w:tcPr>
          <w:p>
            <w:pPr>
              <w:jc w:val="right"/>
              <w:ind w:right="713"/>
              <w:spacing w:after="0"/>
              <w:rPr>
                <w:sz w:val="20"/>
                <w:szCs w:val="20"/>
                <w:color w:val="auto"/>
              </w:rPr>
            </w:pPr>
            <w:r>
              <w:rPr>
                <w:rFonts w:ascii="Arial" w:cs="Arial" w:eastAsia="Arial" w:hAnsi="Arial"/>
                <w:sz w:val="14"/>
                <w:szCs w:val="14"/>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71.34</w:t>
            </w:r>
          </w:p>
        </w:tc>
        <w:tc>
          <w:tcPr>
            <w:tcW w:w="980" w:type="dxa"/>
            <w:vAlign w:val="bottom"/>
            <w:gridSpan w:val="2"/>
            <w:shd w:val="clear" w:color="auto" w:fill="CCEEFF"/>
          </w:tcPr>
          <w:p>
            <w:pPr>
              <w:jc w:val="right"/>
              <w:ind w:right="800"/>
              <w:spacing w:after="0"/>
              <w:rPr>
                <w:sz w:val="20"/>
                <w:szCs w:val="20"/>
                <w:color w:val="auto"/>
              </w:rPr>
            </w:pPr>
            <w:r>
              <w:rPr>
                <w:rFonts w:ascii="Arial" w:cs="Arial" w:eastAsia="Arial" w:hAnsi="Arial"/>
                <w:sz w:val="14"/>
                <w:szCs w:val="14"/>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69.19</w:t>
            </w:r>
          </w:p>
        </w:tc>
      </w:tr>
    </w:tbl>
    <w:p>
      <w:pPr>
        <w:spacing w:after="0" w:line="63"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w:t>
      </w:r>
    </w:p>
    <w:p>
      <w:pPr>
        <w:spacing w:after="0" w:line="12" w:lineRule="exact"/>
        <w:rPr>
          <w:sz w:val="20"/>
          <w:szCs w:val="20"/>
          <w:color w:val="auto"/>
        </w:rPr>
      </w:pPr>
    </w:p>
    <w:p>
      <w:pPr>
        <w:ind w:left="360" w:hanging="356"/>
        <w:spacing w:after="0"/>
        <w:tabs>
          <w:tab w:leader="none" w:pos="360" w:val="left"/>
        </w:tabs>
        <w:numPr>
          <w:ilvl w:val="0"/>
          <w:numId w:val="11"/>
        </w:numPr>
        <w:rPr>
          <w:rFonts w:ascii="Arial" w:cs="Arial" w:eastAsia="Arial" w:hAnsi="Arial"/>
          <w:sz w:val="14"/>
          <w:szCs w:val="14"/>
          <w:color w:val="auto"/>
        </w:rPr>
      </w:pPr>
      <w:r>
        <w:rPr>
          <w:rFonts w:ascii="Arial" w:cs="Arial" w:eastAsia="Arial" w:hAnsi="Arial"/>
          <w:sz w:val="14"/>
          <w:szCs w:val="14"/>
          <w:color w:val="auto"/>
        </w:rPr>
        <w:t>Calculated as of the award grant date using the Black-Scholes Merton (“BSM”) option pricing model.</w:t>
      </w:r>
    </w:p>
    <w:p>
      <w:pPr>
        <w:spacing w:after="0" w:line="211"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Stock-based Compensation Expense</w:t>
      </w:r>
    </w:p>
    <w:p>
      <w:pPr>
        <w:spacing w:after="0" w:line="232"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following table summarizes stock-based compensation expense for the three months ended April 30, 2023 and 2022, as follows:</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900" w:type="dxa"/>
            <w:vAlign w:val="bottom"/>
          </w:tcPr>
          <w:p>
            <w:pPr>
              <w:spacing w:after="0"/>
              <w:rPr>
                <w:sz w:val="15"/>
                <w:szCs w:val="15"/>
                <w:color w:val="auto"/>
              </w:rPr>
            </w:pPr>
          </w:p>
        </w:tc>
        <w:tc>
          <w:tcPr>
            <w:tcW w:w="2320" w:type="dxa"/>
            <w:vAlign w:val="bottom"/>
            <w:tcBorders>
              <w:bottom w:val="single" w:sz="8" w:color="auto"/>
            </w:tcBorders>
            <w:gridSpan w:val="4"/>
          </w:tcPr>
          <w:p>
            <w:pPr>
              <w:jc w:val="right"/>
              <w:ind w:right="16"/>
              <w:spacing w:after="0"/>
              <w:rPr>
                <w:sz w:val="20"/>
                <w:szCs w:val="20"/>
                <w:color w:val="auto"/>
              </w:rPr>
            </w:pPr>
            <w:r>
              <w:rPr>
                <w:rFonts w:ascii="Arial" w:cs="Arial" w:eastAsia="Arial" w:hAnsi="Arial"/>
                <w:sz w:val="13"/>
                <w:szCs w:val="13"/>
                <w:b w:val="1"/>
                <w:bCs w:val="1"/>
                <w:color w:val="auto"/>
              </w:rPr>
              <w:t>Three Months Ended April 30,</w:t>
            </w:r>
          </w:p>
        </w:tc>
        <w:tc>
          <w:tcPr>
            <w:tcW w:w="360" w:type="dxa"/>
            <w:vAlign w:val="bottom"/>
            <w:tcBorders>
              <w:bottom w:val="single" w:sz="8" w:color="auto"/>
            </w:tcBorders>
          </w:tcPr>
          <w:p>
            <w:pPr>
              <w:spacing w:after="0"/>
              <w:rPr>
                <w:sz w:val="15"/>
                <w:szCs w:val="15"/>
                <w:color w:val="auto"/>
              </w:rPr>
            </w:pPr>
          </w:p>
        </w:tc>
      </w:tr>
      <w:tr>
        <w:trPr>
          <w:trHeight w:val="167"/>
        </w:trPr>
        <w:tc>
          <w:tcPr>
            <w:tcW w:w="7900" w:type="dxa"/>
            <w:vAlign w:val="bottom"/>
            <w:tcBorders>
              <w:bottom w:val="single" w:sz="8" w:color="CCEEFF"/>
            </w:tcBorders>
          </w:tcPr>
          <w:p>
            <w:pPr>
              <w:spacing w:after="0"/>
              <w:rPr>
                <w:sz w:val="14"/>
                <w:szCs w:val="14"/>
                <w:color w:val="auto"/>
              </w:rPr>
            </w:pPr>
          </w:p>
        </w:tc>
        <w:tc>
          <w:tcPr>
            <w:tcW w:w="900" w:type="dxa"/>
            <w:vAlign w:val="bottom"/>
            <w:tcBorders>
              <w:bottom w:val="single" w:sz="8" w:color="auto"/>
            </w:tcBorders>
          </w:tcPr>
          <w:p>
            <w:pPr>
              <w:jc w:val="right"/>
              <w:ind w:right="53"/>
              <w:spacing w:after="0"/>
              <w:rPr>
                <w:sz w:val="20"/>
                <w:szCs w:val="20"/>
                <w:color w:val="auto"/>
              </w:rPr>
            </w:pPr>
            <w:r>
              <w:rPr>
                <w:rFonts w:ascii="Arial" w:cs="Arial" w:eastAsia="Arial" w:hAnsi="Arial"/>
                <w:sz w:val="13"/>
                <w:szCs w:val="13"/>
                <w:b w:val="1"/>
                <w:bCs w:val="1"/>
                <w:color w:val="auto"/>
              </w:rPr>
              <w:t>2023</w:t>
            </w:r>
          </w:p>
        </w:tc>
        <w:tc>
          <w:tcPr>
            <w:tcW w:w="380" w:type="dxa"/>
            <w:vAlign w:val="bottom"/>
            <w:tcBorders>
              <w:bottom w:val="single" w:sz="8" w:color="auto"/>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940" w:type="dxa"/>
            <w:vAlign w:val="bottom"/>
            <w:tcBorders>
              <w:bottom w:val="single" w:sz="8" w:color="auto"/>
            </w:tcBorders>
          </w:tcPr>
          <w:p>
            <w:pPr>
              <w:jc w:val="right"/>
              <w:ind w:right="76"/>
              <w:spacing w:after="0"/>
              <w:rPr>
                <w:sz w:val="20"/>
                <w:szCs w:val="20"/>
                <w:color w:val="auto"/>
              </w:rPr>
            </w:pPr>
            <w:r>
              <w:rPr>
                <w:rFonts w:ascii="Arial" w:cs="Arial" w:eastAsia="Arial" w:hAnsi="Arial"/>
                <w:sz w:val="13"/>
                <w:szCs w:val="13"/>
                <w:b w:val="1"/>
                <w:bCs w:val="1"/>
                <w:color w:val="auto"/>
              </w:rPr>
              <w:t>2022</w:t>
            </w:r>
          </w:p>
        </w:tc>
        <w:tc>
          <w:tcPr>
            <w:tcW w:w="360" w:type="dxa"/>
            <w:vAlign w:val="bottom"/>
            <w:tcBorders>
              <w:bottom w:val="single" w:sz="8" w:color="auto"/>
            </w:tcBorders>
          </w:tcPr>
          <w:p>
            <w:pPr>
              <w:spacing w:after="0"/>
              <w:rPr>
                <w:sz w:val="14"/>
                <w:szCs w:val="14"/>
                <w:color w:val="auto"/>
              </w:rPr>
            </w:pPr>
          </w:p>
        </w:tc>
      </w:tr>
      <w:tr>
        <w:trPr>
          <w:trHeight w:val="179"/>
        </w:trPr>
        <w:tc>
          <w:tcPr>
            <w:tcW w:w="7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Cost of subscription and maintenance revenue</w:t>
            </w:r>
          </w:p>
        </w:tc>
        <w:tc>
          <w:tcPr>
            <w:tcW w:w="900" w:type="dxa"/>
            <w:vAlign w:val="bottom"/>
            <w:shd w:val="clear" w:color="auto" w:fill="CCEEFF"/>
          </w:tcPr>
          <w:p>
            <w:pPr>
              <w:jc w:val="right"/>
              <w:ind w:right="753"/>
              <w:spacing w:after="0"/>
              <w:rPr>
                <w:sz w:val="20"/>
                <w:szCs w:val="20"/>
                <w:color w:val="auto"/>
              </w:rPr>
            </w:pPr>
            <w:r>
              <w:rPr>
                <w:rFonts w:ascii="Arial" w:cs="Arial" w:eastAsia="Arial" w:hAnsi="Arial"/>
                <w:sz w:val="14"/>
                <w:szCs w:val="14"/>
                <w:color w:val="auto"/>
                <w:w w:val="76"/>
              </w:rPr>
              <w:t>$</w:t>
            </w:r>
          </w:p>
        </w:tc>
        <w:tc>
          <w:tcPr>
            <w:tcW w:w="3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w:t>
            </w:r>
          </w:p>
        </w:tc>
        <w:tc>
          <w:tcPr>
            <w:tcW w:w="1040" w:type="dxa"/>
            <w:vAlign w:val="bottom"/>
            <w:gridSpan w:val="2"/>
            <w:shd w:val="clear" w:color="auto" w:fill="CCEEFF"/>
          </w:tcPr>
          <w:p>
            <w:pPr>
              <w:jc w:val="right"/>
              <w:ind w:right="776"/>
              <w:spacing w:after="0"/>
              <w:rPr>
                <w:sz w:val="20"/>
                <w:szCs w:val="20"/>
                <w:color w:val="auto"/>
              </w:rPr>
            </w:pPr>
            <w:r>
              <w:rPr>
                <w:rFonts w:ascii="Arial" w:cs="Arial" w:eastAsia="Arial" w:hAnsi="Arial"/>
                <w:sz w:val="14"/>
                <w:szCs w:val="14"/>
                <w:color w:val="auto"/>
              </w:rPr>
              <w:t>$</w:t>
            </w:r>
          </w:p>
        </w:tc>
        <w:tc>
          <w:tcPr>
            <w:tcW w:w="36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8</w:t>
            </w:r>
          </w:p>
        </w:tc>
      </w:tr>
      <w:tr>
        <w:trPr>
          <w:trHeight w:val="185"/>
        </w:trPr>
        <w:tc>
          <w:tcPr>
            <w:tcW w:w="7900" w:type="dxa"/>
            <w:vAlign w:val="bottom"/>
          </w:tcPr>
          <w:p>
            <w:pPr>
              <w:ind w:left="20"/>
              <w:spacing w:after="0"/>
              <w:rPr>
                <w:sz w:val="20"/>
                <w:szCs w:val="20"/>
                <w:color w:val="auto"/>
              </w:rPr>
            </w:pPr>
            <w:r>
              <w:rPr>
                <w:rFonts w:ascii="Arial" w:cs="Arial" w:eastAsia="Arial" w:hAnsi="Arial"/>
                <w:sz w:val="14"/>
                <w:szCs w:val="14"/>
                <w:color w:val="auto"/>
              </w:rPr>
              <w:t>Cost of other revenue</w:t>
            </w:r>
          </w:p>
        </w:tc>
        <w:tc>
          <w:tcPr>
            <w:tcW w:w="900" w:type="dxa"/>
            <w:vAlign w:val="bottom"/>
          </w:tcPr>
          <w:p>
            <w:pPr>
              <w:spacing w:after="0"/>
              <w:rPr>
                <w:sz w:val="16"/>
                <w:szCs w:val="16"/>
                <w:color w:val="auto"/>
              </w:rPr>
            </w:pPr>
          </w:p>
        </w:tc>
        <w:tc>
          <w:tcPr>
            <w:tcW w:w="380" w:type="dxa"/>
            <w:vAlign w:val="bottom"/>
          </w:tcPr>
          <w:p>
            <w:pPr>
              <w:jc w:val="right"/>
              <w:spacing w:after="0"/>
              <w:rPr>
                <w:sz w:val="20"/>
                <w:szCs w:val="20"/>
                <w:color w:val="auto"/>
              </w:rPr>
            </w:pPr>
            <w:r>
              <w:rPr>
                <w:rFonts w:ascii="Arial" w:cs="Arial" w:eastAsia="Arial" w:hAnsi="Arial"/>
                <w:sz w:val="14"/>
                <w:szCs w:val="14"/>
                <w:color w:val="auto"/>
              </w:rPr>
              <w:t>3</w:t>
            </w:r>
          </w:p>
        </w:tc>
        <w:tc>
          <w:tcPr>
            <w:tcW w:w="10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360" w:type="dxa"/>
            <w:vAlign w:val="bottom"/>
          </w:tcPr>
          <w:p>
            <w:pPr>
              <w:jc w:val="right"/>
              <w:ind w:right="10"/>
              <w:spacing w:after="0"/>
              <w:rPr>
                <w:sz w:val="20"/>
                <w:szCs w:val="20"/>
                <w:color w:val="auto"/>
              </w:rPr>
            </w:pPr>
            <w:r>
              <w:rPr>
                <w:rFonts w:ascii="Arial" w:cs="Arial" w:eastAsia="Arial" w:hAnsi="Arial"/>
                <w:sz w:val="14"/>
                <w:szCs w:val="14"/>
                <w:color w:val="auto"/>
              </w:rPr>
              <w:t>3</w:t>
            </w:r>
          </w:p>
        </w:tc>
      </w:tr>
      <w:tr>
        <w:trPr>
          <w:trHeight w:val="190"/>
        </w:trPr>
        <w:tc>
          <w:tcPr>
            <w:tcW w:w="7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Marketing and sales</w:t>
            </w:r>
          </w:p>
        </w:tc>
        <w:tc>
          <w:tcPr>
            <w:tcW w:w="900" w:type="dxa"/>
            <w:vAlign w:val="bottom"/>
            <w:shd w:val="clear" w:color="auto" w:fill="CCEEFF"/>
          </w:tcPr>
          <w:p>
            <w:pPr>
              <w:spacing w:after="0"/>
              <w:rPr>
                <w:sz w:val="16"/>
                <w:szCs w:val="16"/>
                <w:color w:val="auto"/>
              </w:rPr>
            </w:pPr>
          </w:p>
        </w:tc>
        <w:tc>
          <w:tcPr>
            <w:tcW w:w="3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62</w:t>
            </w:r>
          </w:p>
        </w:tc>
        <w:tc>
          <w:tcPr>
            <w:tcW w:w="100" w:type="dxa"/>
            <w:vAlign w:val="bottom"/>
            <w:shd w:val="clear" w:color="auto" w:fill="CCEEFF"/>
          </w:tcPr>
          <w:p>
            <w:pPr>
              <w:spacing w:after="0"/>
              <w:rPr>
                <w:sz w:val="16"/>
                <w:szCs w:val="16"/>
                <w:color w:val="auto"/>
              </w:rPr>
            </w:pPr>
          </w:p>
        </w:tc>
        <w:tc>
          <w:tcPr>
            <w:tcW w:w="940" w:type="dxa"/>
            <w:vAlign w:val="bottom"/>
            <w:shd w:val="clear" w:color="auto" w:fill="CCEEFF"/>
          </w:tcPr>
          <w:p>
            <w:pPr>
              <w:spacing w:after="0"/>
              <w:rPr>
                <w:sz w:val="16"/>
                <w:szCs w:val="16"/>
                <w:color w:val="auto"/>
              </w:rPr>
            </w:pPr>
          </w:p>
        </w:tc>
        <w:tc>
          <w:tcPr>
            <w:tcW w:w="36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62</w:t>
            </w:r>
          </w:p>
        </w:tc>
      </w:tr>
      <w:tr>
        <w:trPr>
          <w:trHeight w:val="185"/>
        </w:trPr>
        <w:tc>
          <w:tcPr>
            <w:tcW w:w="7900" w:type="dxa"/>
            <w:vAlign w:val="bottom"/>
          </w:tcPr>
          <w:p>
            <w:pPr>
              <w:ind w:left="20"/>
              <w:spacing w:after="0"/>
              <w:rPr>
                <w:sz w:val="20"/>
                <w:szCs w:val="20"/>
                <w:color w:val="auto"/>
              </w:rPr>
            </w:pPr>
            <w:r>
              <w:rPr>
                <w:rFonts w:ascii="Arial" w:cs="Arial" w:eastAsia="Arial" w:hAnsi="Arial"/>
                <w:sz w:val="14"/>
                <w:szCs w:val="14"/>
                <w:color w:val="auto"/>
              </w:rPr>
              <w:t>Research and development</w:t>
            </w:r>
          </w:p>
        </w:tc>
        <w:tc>
          <w:tcPr>
            <w:tcW w:w="900" w:type="dxa"/>
            <w:vAlign w:val="bottom"/>
          </w:tcPr>
          <w:p>
            <w:pPr>
              <w:spacing w:after="0"/>
              <w:rPr>
                <w:sz w:val="16"/>
                <w:szCs w:val="16"/>
                <w:color w:val="auto"/>
              </w:rPr>
            </w:pPr>
          </w:p>
        </w:tc>
        <w:tc>
          <w:tcPr>
            <w:tcW w:w="380" w:type="dxa"/>
            <w:vAlign w:val="bottom"/>
          </w:tcPr>
          <w:p>
            <w:pPr>
              <w:jc w:val="right"/>
              <w:spacing w:after="0"/>
              <w:rPr>
                <w:sz w:val="20"/>
                <w:szCs w:val="20"/>
                <w:color w:val="auto"/>
              </w:rPr>
            </w:pPr>
            <w:r>
              <w:rPr>
                <w:rFonts w:ascii="Arial" w:cs="Arial" w:eastAsia="Arial" w:hAnsi="Arial"/>
                <w:sz w:val="14"/>
                <w:szCs w:val="14"/>
                <w:color w:val="auto"/>
              </w:rPr>
              <w:t>69</w:t>
            </w:r>
          </w:p>
        </w:tc>
        <w:tc>
          <w:tcPr>
            <w:tcW w:w="10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360" w:type="dxa"/>
            <w:vAlign w:val="bottom"/>
          </w:tcPr>
          <w:p>
            <w:pPr>
              <w:jc w:val="right"/>
              <w:ind w:right="10"/>
              <w:spacing w:after="0"/>
              <w:rPr>
                <w:sz w:val="20"/>
                <w:szCs w:val="20"/>
                <w:color w:val="auto"/>
              </w:rPr>
            </w:pPr>
            <w:r>
              <w:rPr>
                <w:rFonts w:ascii="Arial" w:cs="Arial" w:eastAsia="Arial" w:hAnsi="Arial"/>
                <w:sz w:val="14"/>
                <w:szCs w:val="14"/>
                <w:color w:val="auto"/>
              </w:rPr>
              <w:t>59</w:t>
            </w:r>
          </w:p>
        </w:tc>
      </w:tr>
      <w:tr>
        <w:trPr>
          <w:trHeight w:val="190"/>
        </w:trPr>
        <w:tc>
          <w:tcPr>
            <w:tcW w:w="7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General and administrative</w:t>
            </w:r>
          </w:p>
        </w:tc>
        <w:tc>
          <w:tcPr>
            <w:tcW w:w="900" w:type="dxa"/>
            <w:vAlign w:val="bottom"/>
            <w:tcBorders>
              <w:bottom w:val="single" w:sz="8" w:color="auto"/>
            </w:tcBorders>
            <w:shd w:val="clear" w:color="auto" w:fill="CCEEFF"/>
          </w:tcPr>
          <w:p>
            <w:pPr>
              <w:spacing w:after="0"/>
              <w:rPr>
                <w:sz w:val="16"/>
                <w:szCs w:val="16"/>
                <w:color w:val="auto"/>
              </w:rPr>
            </w:pPr>
          </w:p>
        </w:tc>
        <w:tc>
          <w:tcPr>
            <w:tcW w:w="3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22</w:t>
            </w:r>
          </w:p>
        </w:tc>
        <w:tc>
          <w:tcPr>
            <w:tcW w:w="100" w:type="dxa"/>
            <w:vAlign w:val="bottom"/>
            <w:shd w:val="clear" w:color="auto" w:fill="CCEEFF"/>
          </w:tcPr>
          <w:p>
            <w:pPr>
              <w:spacing w:after="0"/>
              <w:rPr>
                <w:sz w:val="16"/>
                <w:szCs w:val="16"/>
                <w:color w:val="auto"/>
              </w:rPr>
            </w:pPr>
          </w:p>
        </w:tc>
        <w:tc>
          <w:tcPr>
            <w:tcW w:w="940" w:type="dxa"/>
            <w:vAlign w:val="bottom"/>
            <w:tcBorders>
              <w:bottom w:val="single" w:sz="8" w:color="auto"/>
            </w:tcBorders>
            <w:shd w:val="clear" w:color="auto" w:fill="CCEEFF"/>
          </w:tcPr>
          <w:p>
            <w:pPr>
              <w:spacing w:after="0"/>
              <w:rPr>
                <w:sz w:val="16"/>
                <w:szCs w:val="16"/>
                <w:color w:val="auto"/>
              </w:rPr>
            </w:pPr>
          </w:p>
        </w:tc>
        <w:tc>
          <w:tcPr>
            <w:tcW w:w="36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23</w:t>
            </w:r>
          </w:p>
        </w:tc>
      </w:tr>
      <w:tr>
        <w:trPr>
          <w:trHeight w:val="177"/>
        </w:trPr>
        <w:tc>
          <w:tcPr>
            <w:tcW w:w="790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Stock-based compensation expense related to stock awards and ESPP purchases</w:t>
            </w:r>
          </w:p>
        </w:tc>
        <w:tc>
          <w:tcPr>
            <w:tcW w:w="900" w:type="dxa"/>
            <w:vAlign w:val="bottom"/>
            <w:tcBorders>
              <w:bottom w:val="single" w:sz="8" w:color="auto"/>
            </w:tcBorders>
          </w:tcPr>
          <w:p>
            <w:pPr>
              <w:spacing w:after="0"/>
              <w:rPr>
                <w:sz w:val="15"/>
                <w:szCs w:val="15"/>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165</w:t>
            </w:r>
          </w:p>
        </w:tc>
        <w:tc>
          <w:tcPr>
            <w:tcW w:w="100" w:type="dxa"/>
            <w:vAlign w:val="bottom"/>
            <w:tcBorders>
              <w:bottom w:val="single" w:sz="8" w:color="CCEEFF"/>
            </w:tcBorders>
          </w:tcPr>
          <w:p>
            <w:pPr>
              <w:spacing w:after="0"/>
              <w:rPr>
                <w:sz w:val="15"/>
                <w:szCs w:val="15"/>
                <w:color w:val="auto"/>
              </w:rPr>
            </w:pPr>
          </w:p>
        </w:tc>
        <w:tc>
          <w:tcPr>
            <w:tcW w:w="940" w:type="dxa"/>
            <w:vAlign w:val="bottom"/>
            <w:tcBorders>
              <w:bottom w:val="single" w:sz="8" w:color="auto"/>
            </w:tcBorders>
          </w:tcPr>
          <w:p>
            <w:pPr>
              <w:spacing w:after="0"/>
              <w:rPr>
                <w:sz w:val="15"/>
                <w:szCs w:val="15"/>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155</w:t>
            </w:r>
          </w:p>
        </w:tc>
      </w:tr>
      <w:tr>
        <w:trPr>
          <w:trHeight w:val="182"/>
        </w:trPr>
        <w:tc>
          <w:tcPr>
            <w:tcW w:w="7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Tax expense</w:t>
            </w:r>
          </w:p>
        </w:tc>
        <w:tc>
          <w:tcPr>
            <w:tcW w:w="900" w:type="dxa"/>
            <w:vAlign w:val="bottom"/>
            <w:tcBorders>
              <w:bottom w:val="single" w:sz="8" w:color="auto"/>
            </w:tcBorders>
            <w:shd w:val="clear" w:color="auto" w:fill="CCEEFF"/>
          </w:tcPr>
          <w:p>
            <w:pPr>
              <w:spacing w:after="0"/>
              <w:rPr>
                <w:sz w:val="15"/>
                <w:szCs w:val="15"/>
                <w:color w:val="auto"/>
              </w:rPr>
            </w:pPr>
          </w:p>
        </w:tc>
        <w:tc>
          <w:tcPr>
            <w:tcW w:w="3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100" w:type="dxa"/>
            <w:vAlign w:val="bottom"/>
            <w:shd w:val="clear" w:color="auto" w:fill="CCEEFF"/>
          </w:tcPr>
          <w:p>
            <w:pPr>
              <w:spacing w:after="0"/>
              <w:rPr>
                <w:sz w:val="15"/>
                <w:szCs w:val="15"/>
                <w:color w:val="auto"/>
              </w:rPr>
            </w:pPr>
          </w:p>
        </w:tc>
        <w:tc>
          <w:tcPr>
            <w:tcW w:w="940" w:type="dxa"/>
            <w:vAlign w:val="bottom"/>
            <w:tcBorders>
              <w:bottom w:val="single" w:sz="8" w:color="auto"/>
            </w:tcBorders>
            <w:shd w:val="clear" w:color="auto" w:fill="CCEEFF"/>
          </w:tcPr>
          <w:p>
            <w:pPr>
              <w:spacing w:after="0"/>
              <w:rPr>
                <w:sz w:val="15"/>
                <w:szCs w:val="15"/>
                <w:color w:val="auto"/>
              </w:rPr>
            </w:pPr>
          </w:p>
        </w:tc>
        <w:tc>
          <w:tcPr>
            <w:tcW w:w="36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6</w:t>
            </w:r>
          </w:p>
        </w:tc>
      </w:tr>
      <w:tr>
        <w:trPr>
          <w:trHeight w:val="177"/>
        </w:trPr>
        <w:tc>
          <w:tcPr>
            <w:tcW w:w="7900" w:type="dxa"/>
            <w:vAlign w:val="bottom"/>
          </w:tcPr>
          <w:p>
            <w:pPr>
              <w:ind w:left="20"/>
              <w:spacing w:after="0"/>
              <w:rPr>
                <w:sz w:val="20"/>
                <w:szCs w:val="20"/>
                <w:color w:val="auto"/>
              </w:rPr>
            </w:pPr>
            <w:r>
              <w:rPr>
                <w:rFonts w:ascii="Arial" w:cs="Arial" w:eastAsia="Arial" w:hAnsi="Arial"/>
                <w:sz w:val="14"/>
                <w:szCs w:val="14"/>
                <w:color w:val="auto"/>
              </w:rPr>
              <w:t>Stock-based compensation expense related to stock awards and ESPP purchases, net of tax</w:t>
            </w:r>
          </w:p>
        </w:tc>
        <w:tc>
          <w:tcPr>
            <w:tcW w:w="900" w:type="dxa"/>
            <w:vAlign w:val="bottom"/>
          </w:tcPr>
          <w:p>
            <w:pPr>
              <w:jc w:val="right"/>
              <w:ind w:right="753"/>
              <w:spacing w:after="0"/>
              <w:rPr>
                <w:sz w:val="20"/>
                <w:szCs w:val="20"/>
                <w:color w:val="auto"/>
              </w:rPr>
            </w:pPr>
            <w:r>
              <w:rPr>
                <w:rFonts w:ascii="Arial" w:cs="Arial" w:eastAsia="Arial" w:hAnsi="Arial"/>
                <w:sz w:val="14"/>
                <w:szCs w:val="14"/>
                <w:color w:val="auto"/>
                <w:w w:val="76"/>
              </w:rPr>
              <w:t>$</w:t>
            </w:r>
          </w:p>
        </w:tc>
        <w:tc>
          <w:tcPr>
            <w:tcW w:w="380" w:type="dxa"/>
            <w:vAlign w:val="bottom"/>
          </w:tcPr>
          <w:p>
            <w:pPr>
              <w:jc w:val="right"/>
              <w:spacing w:after="0"/>
              <w:rPr>
                <w:sz w:val="20"/>
                <w:szCs w:val="20"/>
                <w:color w:val="auto"/>
              </w:rPr>
            </w:pPr>
            <w:r>
              <w:rPr>
                <w:rFonts w:ascii="Arial" w:cs="Arial" w:eastAsia="Arial" w:hAnsi="Arial"/>
                <w:sz w:val="14"/>
                <w:szCs w:val="14"/>
                <w:color w:val="auto"/>
              </w:rPr>
              <w:t>166</w:t>
            </w:r>
          </w:p>
        </w:tc>
        <w:tc>
          <w:tcPr>
            <w:tcW w:w="1040" w:type="dxa"/>
            <w:vAlign w:val="bottom"/>
            <w:gridSpan w:val="2"/>
          </w:tcPr>
          <w:p>
            <w:pPr>
              <w:jc w:val="right"/>
              <w:ind w:right="776"/>
              <w:spacing w:after="0"/>
              <w:rPr>
                <w:sz w:val="20"/>
                <w:szCs w:val="20"/>
                <w:color w:val="auto"/>
              </w:rPr>
            </w:pPr>
            <w:r>
              <w:rPr>
                <w:rFonts w:ascii="Arial" w:cs="Arial" w:eastAsia="Arial" w:hAnsi="Arial"/>
                <w:sz w:val="14"/>
                <w:szCs w:val="14"/>
                <w:color w:val="auto"/>
              </w:rPr>
              <w:t>$</w:t>
            </w:r>
          </w:p>
        </w:tc>
        <w:tc>
          <w:tcPr>
            <w:tcW w:w="360" w:type="dxa"/>
            <w:vAlign w:val="bottom"/>
          </w:tcPr>
          <w:p>
            <w:pPr>
              <w:jc w:val="right"/>
              <w:spacing w:after="0"/>
              <w:rPr>
                <w:sz w:val="20"/>
                <w:szCs w:val="20"/>
                <w:color w:val="auto"/>
              </w:rPr>
            </w:pPr>
            <w:r>
              <w:rPr>
                <w:rFonts w:ascii="Arial" w:cs="Arial" w:eastAsia="Arial" w:hAnsi="Arial"/>
                <w:sz w:val="14"/>
                <w:szCs w:val="14"/>
                <w:color w:val="auto"/>
              </w:rPr>
              <w:t>161</w:t>
            </w:r>
          </w:p>
        </w:tc>
      </w:tr>
      <w:tr>
        <w:trPr>
          <w:trHeight w:val="20"/>
        </w:trPr>
        <w:tc>
          <w:tcPr>
            <w:tcW w:w="7900" w:type="dxa"/>
            <w:vAlign w:val="bottom"/>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r>
    </w:tbl>
    <w:p>
      <w:pPr>
        <w:spacing w:after="0" w:line="209"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Stock-based Compensation Expense Assumptions</w:t>
      </w:r>
    </w:p>
    <w:p>
      <w:pPr>
        <w:spacing w:after="0" w:line="232" w:lineRule="exact"/>
        <w:rPr>
          <w:sz w:val="20"/>
          <w:szCs w:val="20"/>
          <w:color w:val="auto"/>
        </w:rPr>
      </w:pPr>
    </w:p>
    <w:p>
      <w:pPr>
        <w:ind w:right="20" w:firstLine="387"/>
        <w:spacing w:after="0" w:line="253" w:lineRule="auto"/>
        <w:rPr>
          <w:sz w:val="20"/>
          <w:szCs w:val="20"/>
          <w:color w:val="auto"/>
        </w:rPr>
      </w:pPr>
      <w:r>
        <w:rPr>
          <w:rFonts w:ascii="Arial" w:cs="Arial" w:eastAsia="Arial" w:hAnsi="Arial"/>
          <w:sz w:val="15"/>
          <w:szCs w:val="15"/>
          <w:color w:val="auto"/>
        </w:rPr>
        <w:t>Autodesk determines the grant date fair value of its share-based payment awards using a BSM option pricing model or the quoted stock price on the date of grant, unless the awards are subject to market conditions, in which case Autodesk uses the Monte Carlo simulation model. The Monte Carlo simulation model uses multiple input variables to estimate the probability that market conditions will be achieved. Autodesk uses the following assumptions to estimate the fair value of stock-based awards:</w:t>
      </w:r>
    </w:p>
    <w:p>
      <w:pPr>
        <w:spacing w:after="0" w:line="73"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4120" w:type="dxa"/>
            <w:vAlign w:val="bottom"/>
          </w:tcPr>
          <w:p>
            <w:pPr>
              <w:spacing w:after="0"/>
              <w:rPr>
                <w:sz w:val="15"/>
                <w:szCs w:val="15"/>
                <w:color w:val="auto"/>
              </w:rPr>
            </w:pPr>
          </w:p>
        </w:tc>
        <w:tc>
          <w:tcPr>
            <w:tcW w:w="3140" w:type="dxa"/>
            <w:vAlign w:val="bottom"/>
            <w:tcBorders>
              <w:bottom w:val="single" w:sz="8" w:color="auto"/>
            </w:tcBorders>
            <w:gridSpan w:val="3"/>
          </w:tcPr>
          <w:p>
            <w:pPr>
              <w:ind w:left="500"/>
              <w:spacing w:after="0"/>
              <w:rPr>
                <w:sz w:val="20"/>
                <w:szCs w:val="20"/>
                <w:color w:val="auto"/>
              </w:rPr>
            </w:pPr>
            <w:r>
              <w:rPr>
                <w:rFonts w:ascii="Arial" w:cs="Arial" w:eastAsia="Arial" w:hAnsi="Arial"/>
                <w:sz w:val="13"/>
                <w:szCs w:val="13"/>
                <w:b w:val="1"/>
                <w:bCs w:val="1"/>
                <w:color w:val="auto"/>
              </w:rPr>
              <w:t>Three Months Ended April 30, 2023</w:t>
            </w:r>
          </w:p>
        </w:tc>
        <w:tc>
          <w:tcPr>
            <w:tcW w:w="100" w:type="dxa"/>
            <w:vAlign w:val="bottom"/>
          </w:tcPr>
          <w:p>
            <w:pPr>
              <w:spacing w:after="0"/>
              <w:rPr>
                <w:sz w:val="15"/>
                <w:szCs w:val="15"/>
                <w:color w:val="auto"/>
              </w:rPr>
            </w:pPr>
          </w:p>
        </w:tc>
        <w:tc>
          <w:tcPr>
            <w:tcW w:w="3160" w:type="dxa"/>
            <w:vAlign w:val="bottom"/>
            <w:tcBorders>
              <w:bottom w:val="single" w:sz="8" w:color="auto"/>
            </w:tcBorders>
            <w:gridSpan w:val="3"/>
          </w:tcPr>
          <w:p>
            <w:pPr>
              <w:ind w:left="520"/>
              <w:spacing w:after="0"/>
              <w:rPr>
                <w:sz w:val="20"/>
                <w:szCs w:val="20"/>
                <w:color w:val="auto"/>
              </w:rPr>
            </w:pPr>
            <w:r>
              <w:rPr>
                <w:rFonts w:ascii="Arial" w:cs="Arial" w:eastAsia="Arial" w:hAnsi="Arial"/>
                <w:sz w:val="13"/>
                <w:szCs w:val="13"/>
                <w:b w:val="1"/>
                <w:bCs w:val="1"/>
                <w:color w:val="auto"/>
              </w:rPr>
              <w:t>Three Months Ended April 30, 2022</w:t>
            </w:r>
          </w:p>
        </w:tc>
      </w:tr>
      <w:tr>
        <w:trPr>
          <w:trHeight w:val="167"/>
        </w:trPr>
        <w:tc>
          <w:tcPr>
            <w:tcW w:w="4120" w:type="dxa"/>
            <w:vAlign w:val="bottom"/>
            <w:tcBorders>
              <w:bottom w:val="single" w:sz="8" w:color="CCEEFF"/>
            </w:tcBorders>
          </w:tcPr>
          <w:p>
            <w:pPr>
              <w:spacing w:after="0"/>
              <w:rPr>
                <w:sz w:val="14"/>
                <w:szCs w:val="14"/>
                <w:color w:val="auto"/>
              </w:rPr>
            </w:pPr>
          </w:p>
        </w:tc>
        <w:tc>
          <w:tcPr>
            <w:tcW w:w="166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9"/>
              </w:rPr>
              <w:t>Performance Stock Units</w:t>
            </w:r>
          </w:p>
        </w:tc>
        <w:tc>
          <w:tcPr>
            <w:tcW w:w="100" w:type="dxa"/>
            <w:vAlign w:val="bottom"/>
            <w:tcBorders>
              <w:bottom w:val="single" w:sz="8" w:color="CCEEFF"/>
            </w:tcBorders>
          </w:tcPr>
          <w:p>
            <w:pPr>
              <w:spacing w:after="0"/>
              <w:rPr>
                <w:sz w:val="14"/>
                <w:szCs w:val="14"/>
                <w:color w:val="auto"/>
              </w:rPr>
            </w:pPr>
          </w:p>
        </w:tc>
        <w:tc>
          <w:tcPr>
            <w:tcW w:w="138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7"/>
              </w:rPr>
              <w:t>ESPP</w:t>
            </w:r>
          </w:p>
        </w:tc>
        <w:tc>
          <w:tcPr>
            <w:tcW w:w="100" w:type="dxa"/>
            <w:vAlign w:val="bottom"/>
            <w:tcBorders>
              <w:bottom w:val="single" w:sz="8" w:color="CCEEFF"/>
            </w:tcBorders>
          </w:tcPr>
          <w:p>
            <w:pPr>
              <w:spacing w:after="0"/>
              <w:rPr>
                <w:sz w:val="14"/>
                <w:szCs w:val="14"/>
                <w:color w:val="auto"/>
              </w:rPr>
            </w:pPr>
          </w:p>
        </w:tc>
        <w:tc>
          <w:tcPr>
            <w:tcW w:w="168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8"/>
              </w:rPr>
              <w:t>Performance Stock Units</w:t>
            </w:r>
          </w:p>
        </w:tc>
        <w:tc>
          <w:tcPr>
            <w:tcW w:w="100" w:type="dxa"/>
            <w:vAlign w:val="bottom"/>
            <w:tcBorders>
              <w:bottom w:val="single" w:sz="8" w:color="CCEEFF"/>
            </w:tcBorders>
          </w:tcPr>
          <w:p>
            <w:pPr>
              <w:spacing w:after="0"/>
              <w:rPr>
                <w:sz w:val="14"/>
                <w:szCs w:val="14"/>
                <w:color w:val="auto"/>
              </w:rPr>
            </w:pPr>
          </w:p>
        </w:tc>
        <w:tc>
          <w:tcPr>
            <w:tcW w:w="138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7"/>
              </w:rPr>
              <w:t>ESPP</w:t>
            </w:r>
          </w:p>
        </w:tc>
      </w:tr>
      <w:tr>
        <w:trPr>
          <w:trHeight w:val="179"/>
        </w:trPr>
        <w:tc>
          <w:tcPr>
            <w:tcW w:w="4120" w:type="dxa"/>
            <w:vAlign w:val="bottom"/>
            <w:shd w:val="clear" w:color="auto" w:fill="CCEEFF"/>
          </w:tcPr>
          <w:p>
            <w:pPr>
              <w:ind w:left="20"/>
              <w:spacing w:after="0"/>
              <w:rPr>
                <w:sz w:val="20"/>
                <w:szCs w:val="20"/>
                <w:color w:val="auto"/>
              </w:rPr>
            </w:pPr>
            <w:r>
              <w:rPr>
                <w:rFonts w:ascii="Arial" w:cs="Arial" w:eastAsia="Arial" w:hAnsi="Arial"/>
                <w:sz w:val="14"/>
                <w:szCs w:val="14"/>
                <w:color w:val="auto"/>
              </w:rPr>
              <w:t>Range of expected volatility</w:t>
            </w:r>
          </w:p>
        </w:tc>
        <w:tc>
          <w:tcPr>
            <w:tcW w:w="1660" w:type="dxa"/>
            <w:vAlign w:val="bottom"/>
            <w:shd w:val="clear" w:color="auto" w:fill="CCEEFF"/>
          </w:tcPr>
          <w:p>
            <w:pPr>
              <w:jc w:val="right"/>
              <w:ind w:right="352"/>
              <w:spacing w:after="0"/>
              <w:rPr>
                <w:sz w:val="20"/>
                <w:szCs w:val="20"/>
                <w:color w:val="auto"/>
              </w:rPr>
            </w:pPr>
            <w:r>
              <w:rPr>
                <w:rFonts w:ascii="Arial" w:cs="Arial" w:eastAsia="Arial" w:hAnsi="Arial"/>
                <w:sz w:val="14"/>
                <w:szCs w:val="14"/>
                <w:color w:val="auto"/>
              </w:rPr>
              <w:t>40.9 - 42.5%</w:t>
            </w:r>
          </w:p>
        </w:tc>
        <w:tc>
          <w:tcPr>
            <w:tcW w:w="1480" w:type="dxa"/>
            <w:vAlign w:val="bottom"/>
            <w:gridSpan w:val="2"/>
            <w:shd w:val="clear" w:color="auto" w:fill="CCEEFF"/>
          </w:tcPr>
          <w:p>
            <w:pPr>
              <w:jc w:val="right"/>
              <w:ind w:right="213"/>
              <w:spacing w:after="0"/>
              <w:rPr>
                <w:sz w:val="20"/>
                <w:szCs w:val="20"/>
                <w:color w:val="auto"/>
              </w:rPr>
            </w:pPr>
            <w:r>
              <w:rPr>
                <w:rFonts w:ascii="Arial" w:cs="Arial" w:eastAsia="Arial" w:hAnsi="Arial"/>
                <w:sz w:val="14"/>
                <w:szCs w:val="14"/>
                <w:color w:val="auto"/>
              </w:rPr>
              <w:t>40.0 - 42.4%</w:t>
            </w:r>
          </w:p>
        </w:tc>
        <w:tc>
          <w:tcPr>
            <w:tcW w:w="1780" w:type="dxa"/>
            <w:vAlign w:val="bottom"/>
            <w:gridSpan w:val="2"/>
            <w:shd w:val="clear" w:color="auto" w:fill="CCEEFF"/>
          </w:tcPr>
          <w:p>
            <w:pPr>
              <w:jc w:val="right"/>
              <w:ind w:right="373"/>
              <w:spacing w:after="0"/>
              <w:rPr>
                <w:sz w:val="20"/>
                <w:szCs w:val="20"/>
                <w:color w:val="auto"/>
              </w:rPr>
            </w:pPr>
            <w:r>
              <w:rPr>
                <w:rFonts w:ascii="Arial" w:cs="Arial" w:eastAsia="Arial" w:hAnsi="Arial"/>
                <w:sz w:val="14"/>
                <w:szCs w:val="14"/>
                <w:color w:val="auto"/>
              </w:rPr>
              <w:t>39.4 - 40.7%</w:t>
            </w:r>
          </w:p>
        </w:tc>
        <w:tc>
          <w:tcPr>
            <w:tcW w:w="1480" w:type="dxa"/>
            <w:vAlign w:val="bottom"/>
            <w:gridSpan w:val="2"/>
            <w:shd w:val="clear" w:color="auto" w:fill="CCEEFF"/>
          </w:tcPr>
          <w:p>
            <w:pPr>
              <w:jc w:val="right"/>
              <w:ind w:right="213"/>
              <w:spacing w:after="0"/>
              <w:rPr>
                <w:sz w:val="20"/>
                <w:szCs w:val="20"/>
                <w:color w:val="auto"/>
              </w:rPr>
            </w:pPr>
            <w:r>
              <w:rPr>
                <w:rFonts w:ascii="Arial" w:cs="Arial" w:eastAsia="Arial" w:hAnsi="Arial"/>
                <w:sz w:val="14"/>
                <w:szCs w:val="14"/>
                <w:color w:val="auto"/>
              </w:rPr>
              <w:t>38.3 - 42.7%</w:t>
            </w:r>
          </w:p>
        </w:tc>
      </w:tr>
      <w:tr>
        <w:trPr>
          <w:trHeight w:val="185"/>
        </w:trPr>
        <w:tc>
          <w:tcPr>
            <w:tcW w:w="4120" w:type="dxa"/>
            <w:vAlign w:val="bottom"/>
          </w:tcPr>
          <w:p>
            <w:pPr>
              <w:ind w:left="20"/>
              <w:spacing w:after="0"/>
              <w:rPr>
                <w:sz w:val="20"/>
                <w:szCs w:val="20"/>
                <w:color w:val="auto"/>
              </w:rPr>
            </w:pPr>
            <w:r>
              <w:rPr>
                <w:rFonts w:ascii="Arial" w:cs="Arial" w:eastAsia="Arial" w:hAnsi="Arial"/>
                <w:sz w:val="14"/>
                <w:szCs w:val="14"/>
                <w:color w:val="auto"/>
              </w:rPr>
              <w:t>Range of expected lives (in years)</w:t>
            </w:r>
          </w:p>
        </w:tc>
        <w:tc>
          <w:tcPr>
            <w:tcW w:w="1660" w:type="dxa"/>
            <w:vAlign w:val="bottom"/>
          </w:tcPr>
          <w:p>
            <w:pPr>
              <w:jc w:val="center"/>
              <w:spacing w:after="0"/>
              <w:rPr>
                <w:sz w:val="20"/>
                <w:szCs w:val="20"/>
                <w:color w:val="auto"/>
              </w:rPr>
            </w:pPr>
            <w:r>
              <w:rPr>
                <w:rFonts w:ascii="Arial" w:cs="Arial" w:eastAsia="Arial" w:hAnsi="Arial"/>
                <w:sz w:val="14"/>
                <w:szCs w:val="14"/>
                <w:color w:val="auto"/>
                <w:w w:val="94"/>
              </w:rPr>
              <w:t>N/A</w:t>
            </w:r>
          </w:p>
        </w:tc>
        <w:tc>
          <w:tcPr>
            <w:tcW w:w="1480" w:type="dxa"/>
            <w:vAlign w:val="bottom"/>
            <w:gridSpan w:val="2"/>
          </w:tcPr>
          <w:p>
            <w:pPr>
              <w:jc w:val="right"/>
              <w:ind w:right="393"/>
              <w:spacing w:after="0"/>
              <w:rPr>
                <w:sz w:val="20"/>
                <w:szCs w:val="20"/>
                <w:color w:val="auto"/>
              </w:rPr>
            </w:pPr>
            <w:r>
              <w:rPr>
                <w:rFonts w:ascii="Arial" w:cs="Arial" w:eastAsia="Arial" w:hAnsi="Arial"/>
                <w:sz w:val="14"/>
                <w:szCs w:val="14"/>
                <w:color w:val="auto"/>
              </w:rPr>
              <w:t>0.5- 2.0</w:t>
            </w:r>
          </w:p>
        </w:tc>
        <w:tc>
          <w:tcPr>
            <w:tcW w:w="100" w:type="dxa"/>
            <w:vAlign w:val="bottom"/>
          </w:tcPr>
          <w:p>
            <w:pPr>
              <w:spacing w:after="0"/>
              <w:rPr>
                <w:sz w:val="16"/>
                <w:szCs w:val="16"/>
                <w:color w:val="auto"/>
              </w:rPr>
            </w:pPr>
          </w:p>
        </w:tc>
        <w:tc>
          <w:tcPr>
            <w:tcW w:w="1680" w:type="dxa"/>
            <w:vAlign w:val="bottom"/>
          </w:tcPr>
          <w:p>
            <w:pPr>
              <w:jc w:val="center"/>
              <w:spacing w:after="0"/>
              <w:rPr>
                <w:sz w:val="20"/>
                <w:szCs w:val="20"/>
                <w:color w:val="auto"/>
              </w:rPr>
            </w:pPr>
            <w:r>
              <w:rPr>
                <w:rFonts w:ascii="Arial" w:cs="Arial" w:eastAsia="Arial" w:hAnsi="Arial"/>
                <w:sz w:val="14"/>
                <w:szCs w:val="14"/>
                <w:color w:val="auto"/>
              </w:rPr>
              <w:t>N/A</w:t>
            </w:r>
          </w:p>
        </w:tc>
        <w:tc>
          <w:tcPr>
            <w:tcW w:w="1480" w:type="dxa"/>
            <w:vAlign w:val="bottom"/>
            <w:gridSpan w:val="2"/>
          </w:tcPr>
          <w:p>
            <w:pPr>
              <w:jc w:val="right"/>
              <w:ind w:right="373"/>
              <w:spacing w:after="0"/>
              <w:rPr>
                <w:sz w:val="20"/>
                <w:szCs w:val="20"/>
                <w:color w:val="auto"/>
              </w:rPr>
            </w:pPr>
            <w:r>
              <w:rPr>
                <w:rFonts w:ascii="Arial" w:cs="Arial" w:eastAsia="Arial" w:hAnsi="Arial"/>
                <w:sz w:val="14"/>
                <w:szCs w:val="14"/>
                <w:color w:val="auto"/>
              </w:rPr>
              <w:t>0.5 - 2.0</w:t>
            </w:r>
          </w:p>
        </w:tc>
      </w:tr>
      <w:tr>
        <w:trPr>
          <w:trHeight w:val="190"/>
        </w:trPr>
        <w:tc>
          <w:tcPr>
            <w:tcW w:w="4120" w:type="dxa"/>
            <w:vAlign w:val="bottom"/>
            <w:shd w:val="clear" w:color="auto" w:fill="CCEEFF"/>
          </w:tcPr>
          <w:p>
            <w:pPr>
              <w:ind w:left="20"/>
              <w:spacing w:after="0"/>
              <w:rPr>
                <w:sz w:val="20"/>
                <w:szCs w:val="20"/>
                <w:color w:val="auto"/>
              </w:rPr>
            </w:pPr>
            <w:r>
              <w:rPr>
                <w:rFonts w:ascii="Arial" w:cs="Arial" w:eastAsia="Arial" w:hAnsi="Arial"/>
                <w:sz w:val="14"/>
                <w:szCs w:val="14"/>
                <w:color w:val="auto"/>
              </w:rPr>
              <w:t>Expected dividends</w:t>
            </w:r>
          </w:p>
        </w:tc>
        <w:tc>
          <w:tcPr>
            <w:tcW w:w="166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8"/>
              </w:rPr>
              <w:t>—%</w:t>
            </w:r>
          </w:p>
        </w:tc>
        <w:tc>
          <w:tcPr>
            <w:tcW w:w="100" w:type="dxa"/>
            <w:vAlign w:val="bottom"/>
            <w:shd w:val="clear" w:color="auto" w:fill="CCEEFF"/>
          </w:tcPr>
          <w:p>
            <w:pPr>
              <w:spacing w:after="0"/>
              <w:rPr>
                <w:sz w:val="16"/>
                <w:szCs w:val="16"/>
                <w:color w:val="auto"/>
              </w:rPr>
            </w:pPr>
          </w:p>
        </w:tc>
        <w:tc>
          <w:tcPr>
            <w:tcW w:w="13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8"/>
              </w:rPr>
              <w:t>—%</w:t>
            </w:r>
          </w:p>
        </w:tc>
        <w:tc>
          <w:tcPr>
            <w:tcW w:w="100" w:type="dxa"/>
            <w:vAlign w:val="bottom"/>
            <w:shd w:val="clear" w:color="auto" w:fill="CCEEFF"/>
          </w:tcPr>
          <w:p>
            <w:pPr>
              <w:spacing w:after="0"/>
              <w:rPr>
                <w:sz w:val="16"/>
                <w:szCs w:val="16"/>
                <w:color w:val="auto"/>
              </w:rPr>
            </w:pPr>
          </w:p>
        </w:tc>
        <w:tc>
          <w:tcPr>
            <w:tcW w:w="16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8"/>
              </w:rPr>
              <w:t>—%</w:t>
            </w:r>
          </w:p>
        </w:tc>
        <w:tc>
          <w:tcPr>
            <w:tcW w:w="100" w:type="dxa"/>
            <w:vAlign w:val="bottom"/>
            <w:shd w:val="clear" w:color="auto" w:fill="CCEEFF"/>
          </w:tcPr>
          <w:p>
            <w:pPr>
              <w:spacing w:after="0"/>
              <w:rPr>
                <w:sz w:val="16"/>
                <w:szCs w:val="16"/>
                <w:color w:val="auto"/>
              </w:rPr>
            </w:pPr>
          </w:p>
        </w:tc>
        <w:tc>
          <w:tcPr>
            <w:tcW w:w="13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8"/>
              </w:rPr>
              <w:t>—%</w:t>
            </w:r>
          </w:p>
        </w:tc>
      </w:tr>
      <w:tr>
        <w:trPr>
          <w:trHeight w:val="183"/>
        </w:trPr>
        <w:tc>
          <w:tcPr>
            <w:tcW w:w="4120" w:type="dxa"/>
            <w:vAlign w:val="bottom"/>
          </w:tcPr>
          <w:p>
            <w:pPr>
              <w:ind w:left="20"/>
              <w:spacing w:after="0"/>
              <w:rPr>
                <w:sz w:val="20"/>
                <w:szCs w:val="20"/>
                <w:color w:val="auto"/>
              </w:rPr>
            </w:pPr>
            <w:r>
              <w:rPr>
                <w:rFonts w:ascii="Arial" w:cs="Arial" w:eastAsia="Arial" w:hAnsi="Arial"/>
                <w:sz w:val="14"/>
                <w:szCs w:val="14"/>
                <w:color w:val="auto"/>
              </w:rPr>
              <w:t>Range of risk-free interest rates</w:t>
            </w:r>
          </w:p>
        </w:tc>
        <w:tc>
          <w:tcPr>
            <w:tcW w:w="1660" w:type="dxa"/>
            <w:vAlign w:val="bottom"/>
          </w:tcPr>
          <w:p>
            <w:pPr>
              <w:jc w:val="right"/>
              <w:ind w:right="432"/>
              <w:spacing w:after="0"/>
              <w:rPr>
                <w:sz w:val="20"/>
                <w:szCs w:val="20"/>
                <w:color w:val="auto"/>
              </w:rPr>
            </w:pPr>
            <w:r>
              <w:rPr>
                <w:rFonts w:ascii="Arial" w:cs="Arial" w:eastAsia="Arial" w:hAnsi="Arial"/>
                <w:sz w:val="14"/>
                <w:szCs w:val="14"/>
                <w:color w:val="auto"/>
              </w:rPr>
              <w:t>4.3 - 4.7%</w:t>
            </w:r>
          </w:p>
        </w:tc>
        <w:tc>
          <w:tcPr>
            <w:tcW w:w="1480" w:type="dxa"/>
            <w:vAlign w:val="bottom"/>
            <w:gridSpan w:val="2"/>
          </w:tcPr>
          <w:p>
            <w:pPr>
              <w:jc w:val="right"/>
              <w:ind w:right="313"/>
              <w:spacing w:after="0"/>
              <w:rPr>
                <w:sz w:val="20"/>
                <w:szCs w:val="20"/>
                <w:color w:val="auto"/>
              </w:rPr>
            </w:pPr>
            <w:r>
              <w:rPr>
                <w:rFonts w:ascii="Arial" w:cs="Arial" w:eastAsia="Arial" w:hAnsi="Arial"/>
                <w:sz w:val="14"/>
                <w:szCs w:val="14"/>
                <w:color w:val="auto"/>
              </w:rPr>
              <w:t>4.3 -5.0%</w:t>
            </w:r>
          </w:p>
        </w:tc>
        <w:tc>
          <w:tcPr>
            <w:tcW w:w="1780" w:type="dxa"/>
            <w:vAlign w:val="bottom"/>
            <w:gridSpan w:val="2"/>
          </w:tcPr>
          <w:p>
            <w:pPr>
              <w:jc w:val="right"/>
              <w:ind w:right="453"/>
              <w:spacing w:after="0"/>
              <w:rPr>
                <w:sz w:val="20"/>
                <w:szCs w:val="20"/>
                <w:color w:val="auto"/>
              </w:rPr>
            </w:pPr>
            <w:r>
              <w:rPr>
                <w:rFonts w:ascii="Arial" w:cs="Arial" w:eastAsia="Arial" w:hAnsi="Arial"/>
                <w:sz w:val="14"/>
                <w:szCs w:val="14"/>
                <w:color w:val="auto"/>
              </w:rPr>
              <w:t>1.2 - 1.6%</w:t>
            </w:r>
          </w:p>
        </w:tc>
        <w:tc>
          <w:tcPr>
            <w:tcW w:w="1480" w:type="dxa"/>
            <w:vAlign w:val="bottom"/>
            <w:gridSpan w:val="2"/>
          </w:tcPr>
          <w:p>
            <w:pPr>
              <w:jc w:val="right"/>
              <w:ind w:right="293"/>
              <w:spacing w:after="0"/>
              <w:rPr>
                <w:sz w:val="20"/>
                <w:szCs w:val="20"/>
                <w:color w:val="auto"/>
              </w:rPr>
            </w:pPr>
            <w:r>
              <w:rPr>
                <w:rFonts w:ascii="Arial" w:cs="Arial" w:eastAsia="Arial" w:hAnsi="Arial"/>
                <w:sz w:val="14"/>
                <w:szCs w:val="14"/>
                <w:color w:val="auto"/>
              </w:rPr>
              <w:t>0.9 - 1.9%</w:t>
            </w:r>
          </w:p>
        </w:tc>
      </w:tr>
    </w:tbl>
    <w:p>
      <w:pPr>
        <w:spacing w:after="0" w:line="291" w:lineRule="exact"/>
        <w:rPr>
          <w:sz w:val="20"/>
          <w:szCs w:val="20"/>
          <w:color w:val="auto"/>
        </w:rPr>
      </w:pPr>
    </w:p>
    <w:p>
      <w:pPr>
        <w:ind w:right="20" w:firstLine="387"/>
        <w:spacing w:after="0" w:line="253" w:lineRule="auto"/>
        <w:rPr>
          <w:sz w:val="20"/>
          <w:szCs w:val="20"/>
          <w:color w:val="auto"/>
        </w:rPr>
      </w:pPr>
      <w:r>
        <w:rPr>
          <w:rFonts w:ascii="Arial" w:cs="Arial" w:eastAsia="Arial" w:hAnsi="Arial"/>
          <w:sz w:val="15"/>
          <w:szCs w:val="15"/>
          <w:color w:val="auto"/>
        </w:rPr>
        <w:t>Autodesk estimates expected volatility for stock-based awards based on the average of the following two measures: (1) a measure of historical volatility in the trading market for the Company’s common stock, and (2) the implied volatility of traded options to purchase shares of the Company’s common stock. The expected volatility for performance stock units subject to market conditions includes the expected volatility of companies within the S&amp;P North American Technology Software Index with a market capitalization over $2.0 billion, depending on the award type.</w:t>
      </w:r>
    </w:p>
    <w:p>
      <w:pPr>
        <w:spacing w:after="0" w:line="198"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range of expected lives of ESPP awards are based upon the four six-month exercise periods within a 24-month offering period.</w:t>
      </w:r>
    </w:p>
    <w:p>
      <w:pPr>
        <w:spacing w:after="0" w:line="226" w:lineRule="exact"/>
        <w:rPr>
          <w:sz w:val="20"/>
          <w:szCs w:val="20"/>
          <w:color w:val="auto"/>
        </w:rPr>
      </w:pPr>
    </w:p>
    <w:p>
      <w:pPr>
        <w:ind w:right="280" w:firstLine="387"/>
        <w:spacing w:after="0" w:line="271" w:lineRule="auto"/>
        <w:rPr>
          <w:sz w:val="20"/>
          <w:szCs w:val="20"/>
          <w:color w:val="auto"/>
        </w:rPr>
      </w:pPr>
      <w:r>
        <w:rPr>
          <w:rFonts w:ascii="Arial" w:cs="Arial" w:eastAsia="Arial" w:hAnsi="Arial"/>
          <w:sz w:val="15"/>
          <w:szCs w:val="15"/>
          <w:color w:val="auto"/>
        </w:rPr>
        <w:t>Autodesk does not currently pay, and does not anticipate paying in the foreseeable future, any cash dividends. Consequently, an expected dividend yield of zero is used in the BSM option pricing model and the Monte Carlo simulation model.</w:t>
      </w:r>
    </w:p>
    <w:p>
      <w:pPr>
        <w:spacing w:after="0" w:line="185" w:lineRule="exact"/>
        <w:rPr>
          <w:sz w:val="20"/>
          <w:szCs w:val="20"/>
          <w:color w:val="auto"/>
        </w:rPr>
      </w:pPr>
    </w:p>
    <w:p>
      <w:pPr>
        <w:ind w:right="100" w:firstLine="387"/>
        <w:spacing w:after="0" w:line="271" w:lineRule="auto"/>
        <w:rPr>
          <w:sz w:val="20"/>
          <w:szCs w:val="20"/>
          <w:color w:val="auto"/>
        </w:rPr>
      </w:pPr>
      <w:r>
        <w:rPr>
          <w:rFonts w:ascii="Arial" w:cs="Arial" w:eastAsia="Arial" w:hAnsi="Arial"/>
          <w:sz w:val="15"/>
          <w:szCs w:val="15"/>
          <w:color w:val="auto"/>
        </w:rPr>
        <w:t>The risk- free interest rate used in the BSM option pricing model and the Monte Carlo simulation model for stock-based awards is the historical yield on U.S. Treasury securities with equivalent remaining lives.</w:t>
      </w: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18" w:name="page19"/>
    <w:bookmarkEnd w:id="18"/>
    <w:p>
      <w:pPr>
        <w:spacing w:after="0" w:line="13" w:lineRule="exact"/>
        <w:rPr>
          <w:sz w:val="20"/>
          <w:szCs w:val="20"/>
          <w:color w:val="auto"/>
        </w:rPr>
      </w:pPr>
    </w:p>
    <w:p>
      <w:pPr>
        <w:ind w:right="320" w:firstLine="387"/>
        <w:spacing w:after="0" w:line="271" w:lineRule="auto"/>
        <w:rPr>
          <w:sz w:val="20"/>
          <w:szCs w:val="20"/>
          <w:color w:val="auto"/>
        </w:rPr>
      </w:pPr>
      <w:r>
        <w:rPr>
          <w:rFonts w:ascii="Arial" w:cs="Arial" w:eastAsia="Arial" w:hAnsi="Arial"/>
          <w:sz w:val="15"/>
          <w:szCs w:val="15"/>
          <w:color w:val="auto"/>
        </w:rPr>
        <w:t>Autodesk recognizes expense only for the stock-based awards that ultimately vest. Autodesk accounts for forfeitures of our stock-based awards as those forfeitures occur.</w:t>
      </w:r>
    </w:p>
    <w:p>
      <w:pPr>
        <w:spacing w:after="0" w:line="177"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7. Income Tax</w:t>
      </w:r>
    </w:p>
    <w:p>
      <w:pPr>
        <w:spacing w:after="0" w:line="234" w:lineRule="exact"/>
        <w:rPr>
          <w:sz w:val="20"/>
          <w:szCs w:val="20"/>
          <w:color w:val="auto"/>
        </w:rPr>
      </w:pPr>
    </w:p>
    <w:p>
      <w:pPr>
        <w:ind w:right="80" w:firstLine="429"/>
        <w:spacing w:after="0" w:line="253" w:lineRule="auto"/>
        <w:rPr>
          <w:sz w:val="20"/>
          <w:szCs w:val="20"/>
          <w:color w:val="auto"/>
        </w:rPr>
      </w:pPr>
      <w:r>
        <w:rPr>
          <w:rFonts w:ascii="Arial" w:cs="Arial" w:eastAsia="Arial" w:hAnsi="Arial"/>
          <w:sz w:val="15"/>
          <w:szCs w:val="15"/>
          <w:color w:val="auto"/>
        </w:rPr>
        <w:t>Autodesk had income tax expense of $60 million, relative to pre-tax income of $221 million for the three months ended April 30, 2023, and income tax expense of $49 million, relative to pre-tax income of $195 million for the three months ended April 30, 2022. Income tax expense for the three months ended April 30, 2023, reflects a reduced U.S. foreign derived intangible income benefit, increased tax expense from foreign currency adjustments from foreign branches, and a reduced tax expense relating to stock-based compensation.</w:t>
      </w:r>
    </w:p>
    <w:p>
      <w:pPr>
        <w:spacing w:after="0" w:line="198" w:lineRule="exact"/>
        <w:rPr>
          <w:sz w:val="20"/>
          <w:szCs w:val="20"/>
          <w:color w:val="auto"/>
        </w:rPr>
      </w:pPr>
    </w:p>
    <w:p>
      <w:pPr>
        <w:ind w:right="40" w:firstLine="387"/>
        <w:spacing w:after="0" w:line="251" w:lineRule="auto"/>
        <w:rPr>
          <w:sz w:val="20"/>
          <w:szCs w:val="20"/>
          <w:color w:val="auto"/>
        </w:rPr>
      </w:pPr>
      <w:r>
        <w:rPr>
          <w:rFonts w:ascii="Arial" w:cs="Arial" w:eastAsia="Arial" w:hAnsi="Arial"/>
          <w:sz w:val="15"/>
          <w:szCs w:val="15"/>
          <w:color w:val="auto"/>
        </w:rPr>
        <w:t>Autodesk regularly assesses the need for a valuation allowance against its deferred tax assets. In making that assessment, Autodesk considers both positive and negative evidence related to the likelihood of realization of the deferred tax assets to determine, based on the weight of available evidence, whether it is more likely than not that some or all of the deferred tax assets will not be realized. We have maintained a valuation allowance on all or part of our Netherlands, Australia, California, Michigan deferred tax assets, as well as our U.S. capital loss deferred tax assets as it is more likely than not that some or all of the deferred tax assets will not be realized.</w:t>
      </w:r>
    </w:p>
    <w:p>
      <w:pPr>
        <w:spacing w:after="0" w:line="199" w:lineRule="exact"/>
        <w:rPr>
          <w:sz w:val="20"/>
          <w:szCs w:val="20"/>
          <w:color w:val="auto"/>
        </w:rPr>
      </w:pPr>
    </w:p>
    <w:p>
      <w:pPr>
        <w:jc w:val="both"/>
        <w:ind w:right="300" w:firstLine="422"/>
        <w:spacing w:after="0" w:line="241" w:lineRule="auto"/>
        <w:rPr>
          <w:sz w:val="20"/>
          <w:szCs w:val="20"/>
          <w:color w:val="auto"/>
        </w:rPr>
      </w:pPr>
      <w:r>
        <w:rPr>
          <w:rFonts w:ascii="Arial" w:cs="Arial" w:eastAsia="Arial" w:hAnsi="Arial"/>
          <w:sz w:val="15"/>
          <w:szCs w:val="15"/>
          <w:color w:val="auto"/>
        </w:rPr>
        <w:t>As of April 30, 2023, the Company had $227 million of gross unrecognized tax benefits, of which $ 189 million would impact the effective tax rate, if recognized. The remaining $38 million would reduce our valuation allowance, if recognized. The amount of unrecognized tax benefits will decrease in the next twelve months for statute lapse of approximately $4 million.</w:t>
      </w:r>
    </w:p>
    <w:p>
      <w:pPr>
        <w:spacing w:after="0" w:line="195" w:lineRule="exact"/>
        <w:rPr>
          <w:sz w:val="20"/>
          <w:szCs w:val="20"/>
          <w:color w:val="auto"/>
        </w:rPr>
      </w:pPr>
    </w:p>
    <w:p>
      <w:pPr>
        <w:ind w:right="40" w:firstLine="351"/>
        <w:spacing w:after="0" w:line="257" w:lineRule="auto"/>
        <w:rPr>
          <w:sz w:val="20"/>
          <w:szCs w:val="20"/>
          <w:color w:val="auto"/>
        </w:rPr>
      </w:pPr>
      <w:r>
        <w:rPr>
          <w:rFonts w:ascii="Arial" w:cs="Arial" w:eastAsia="Arial" w:hAnsi="Arial"/>
          <w:sz w:val="15"/>
          <w:szCs w:val="15"/>
          <w:color w:val="auto"/>
        </w:rPr>
        <w:t>Signed into law on August 16, 2022, the Inflation Reduction Act contains many revisions to the Internal Revenue Code effective in taxable years beginning after December 31, 2022, including a 15% corporate minimum income tax. Autodesk continues to monitor the impact of the Inflation Reduction Act on its consolidated financial statements.</w:t>
      </w:r>
    </w:p>
    <w:p>
      <w:pPr>
        <w:spacing w:after="0" w:line="188"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8</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Intangible Assets, Net</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following tables summarize the Company's intangible assets, net, as of April 30, 2023, and January 31, 2023:</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6420" w:type="dxa"/>
            <w:vAlign w:val="bottom"/>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1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260" w:type="dxa"/>
            <w:vAlign w:val="bottom"/>
            <w:tcBorders>
              <w:bottom w:val="single" w:sz="8" w:color="auto"/>
            </w:tcBorders>
          </w:tcPr>
          <w:p>
            <w:pPr>
              <w:jc w:val="right"/>
              <w:ind w:right="252"/>
              <w:spacing w:after="0"/>
              <w:rPr>
                <w:sz w:val="20"/>
                <w:szCs w:val="20"/>
                <w:color w:val="auto"/>
              </w:rPr>
            </w:pPr>
            <w:r>
              <w:rPr>
                <w:rFonts w:ascii="Arial" w:cs="Arial" w:eastAsia="Arial" w:hAnsi="Arial"/>
                <w:sz w:val="13"/>
                <w:szCs w:val="13"/>
                <w:b w:val="1"/>
                <w:bCs w:val="1"/>
                <w:color w:val="auto"/>
              </w:rPr>
              <w:t>April 30, 2023</w:t>
            </w:r>
          </w:p>
        </w:tc>
        <w:tc>
          <w:tcPr>
            <w:tcW w:w="80" w:type="dxa"/>
            <w:vAlign w:val="bottom"/>
            <w:tcBorders>
              <w:bottom w:val="single" w:sz="8" w:color="auto"/>
            </w:tcBorders>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1"/>
        </w:trPr>
        <w:tc>
          <w:tcPr>
            <w:tcW w:w="64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160" w:type="dxa"/>
            <w:vAlign w:val="bottom"/>
          </w:tcPr>
          <w:p>
            <w:pPr>
              <w:jc w:val="right"/>
              <w:ind w:right="112"/>
              <w:spacing w:after="0" w:line="121" w:lineRule="exact"/>
              <w:rPr>
                <w:sz w:val="20"/>
                <w:szCs w:val="20"/>
                <w:color w:val="auto"/>
              </w:rPr>
            </w:pPr>
            <w:r>
              <w:rPr>
                <w:rFonts w:ascii="Arial" w:cs="Arial" w:eastAsia="Arial" w:hAnsi="Arial"/>
                <w:sz w:val="13"/>
                <w:szCs w:val="13"/>
                <w:b w:val="1"/>
                <w:bCs w:val="1"/>
                <w:color w:val="auto"/>
              </w:rPr>
              <w:t>Gross Carrying</w:t>
            </w:r>
          </w:p>
        </w:tc>
        <w:tc>
          <w:tcPr>
            <w:tcW w:w="8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260" w:type="dxa"/>
            <w:vAlign w:val="bottom"/>
          </w:tcPr>
          <w:p>
            <w:pPr>
              <w:jc w:val="right"/>
              <w:ind w:right="252"/>
              <w:spacing w:after="0" w:line="121" w:lineRule="exact"/>
              <w:rPr>
                <w:sz w:val="20"/>
                <w:szCs w:val="20"/>
                <w:color w:val="auto"/>
              </w:rPr>
            </w:pPr>
            <w:r>
              <w:rPr>
                <w:rFonts w:ascii="Arial" w:cs="Arial" w:eastAsia="Arial" w:hAnsi="Arial"/>
                <w:sz w:val="13"/>
                <w:szCs w:val="13"/>
                <w:b w:val="1"/>
                <w:bCs w:val="1"/>
                <w:color w:val="auto"/>
              </w:rPr>
              <w:t>Accumulated</w:t>
            </w:r>
          </w:p>
        </w:tc>
        <w:tc>
          <w:tcPr>
            <w:tcW w:w="8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960" w:type="dxa"/>
            <w:vAlign w:val="bottom"/>
            <w:vMerge w:val="restart"/>
          </w:tcPr>
          <w:p>
            <w:pPr>
              <w:jc w:val="right"/>
              <w:ind w:right="471"/>
              <w:spacing w:after="0"/>
              <w:rPr>
                <w:sz w:val="20"/>
                <w:szCs w:val="20"/>
                <w:color w:val="auto"/>
              </w:rPr>
            </w:pPr>
            <w:r>
              <w:rPr>
                <w:rFonts w:ascii="Arial" w:cs="Arial" w:eastAsia="Arial" w:hAnsi="Arial"/>
                <w:sz w:val="13"/>
                <w:szCs w:val="13"/>
                <w:b w:val="1"/>
                <w:bCs w:val="1"/>
                <w:color w:val="auto"/>
              </w:rPr>
              <w:t>Net</w:t>
            </w:r>
          </w:p>
        </w:tc>
        <w:tc>
          <w:tcPr>
            <w:tcW w:w="0" w:type="dxa"/>
            <w:vAlign w:val="bottom"/>
          </w:tcPr>
          <w:p>
            <w:pPr>
              <w:spacing w:after="0"/>
              <w:rPr>
                <w:sz w:val="1"/>
                <w:szCs w:val="1"/>
                <w:color w:val="auto"/>
              </w:rPr>
            </w:pPr>
          </w:p>
        </w:tc>
      </w:tr>
      <w:tr>
        <w:trPr>
          <w:trHeight w:val="107"/>
        </w:trPr>
        <w:tc>
          <w:tcPr>
            <w:tcW w:w="64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160" w:type="dxa"/>
            <w:vAlign w:val="bottom"/>
            <w:vMerge w:val="restart"/>
          </w:tcPr>
          <w:p>
            <w:pPr>
              <w:jc w:val="right"/>
              <w:ind w:right="252"/>
              <w:spacing w:after="0"/>
              <w:rPr>
                <w:sz w:val="20"/>
                <w:szCs w:val="20"/>
                <w:color w:val="auto"/>
              </w:rPr>
            </w:pPr>
            <w:r>
              <w:rPr>
                <w:rFonts w:ascii="Arial" w:cs="Arial" w:eastAsia="Arial" w:hAnsi="Arial"/>
                <w:sz w:val="13"/>
                <w:szCs w:val="13"/>
                <w:b w:val="1"/>
                <w:bCs w:val="1"/>
                <w:color w:val="auto"/>
              </w:rPr>
              <w:t>Amount (1)</w:t>
            </w:r>
          </w:p>
        </w:tc>
        <w:tc>
          <w:tcPr>
            <w:tcW w:w="80" w:type="dxa"/>
            <w:vAlign w:val="bottom"/>
          </w:tcPr>
          <w:p>
            <w:pPr>
              <w:spacing w:after="0"/>
              <w:rPr>
                <w:sz w:val="9"/>
                <w:szCs w:val="9"/>
                <w:color w:val="auto"/>
              </w:rPr>
            </w:pPr>
          </w:p>
        </w:tc>
        <w:tc>
          <w:tcPr>
            <w:tcW w:w="180" w:type="dxa"/>
            <w:vAlign w:val="bottom"/>
          </w:tcPr>
          <w:p>
            <w:pPr>
              <w:spacing w:after="0"/>
              <w:rPr>
                <w:sz w:val="9"/>
                <w:szCs w:val="9"/>
                <w:color w:val="auto"/>
              </w:rPr>
            </w:pPr>
          </w:p>
        </w:tc>
        <w:tc>
          <w:tcPr>
            <w:tcW w:w="1260" w:type="dxa"/>
            <w:vAlign w:val="bottom"/>
            <w:vMerge w:val="restart"/>
          </w:tcPr>
          <w:p>
            <w:pPr>
              <w:jc w:val="right"/>
              <w:ind w:right="252"/>
              <w:spacing w:after="0"/>
              <w:rPr>
                <w:sz w:val="20"/>
                <w:szCs w:val="20"/>
                <w:color w:val="auto"/>
              </w:rPr>
            </w:pPr>
            <w:r>
              <w:rPr>
                <w:rFonts w:ascii="Arial" w:cs="Arial" w:eastAsia="Arial" w:hAnsi="Arial"/>
                <w:sz w:val="13"/>
                <w:szCs w:val="13"/>
                <w:b w:val="1"/>
                <w:bCs w:val="1"/>
                <w:color w:val="auto"/>
              </w:rPr>
              <w:t>Amortization</w:t>
            </w:r>
          </w:p>
        </w:tc>
        <w:tc>
          <w:tcPr>
            <w:tcW w:w="80" w:type="dxa"/>
            <w:vAlign w:val="bottom"/>
          </w:tcPr>
          <w:p>
            <w:pPr>
              <w:spacing w:after="0"/>
              <w:rPr>
                <w:sz w:val="9"/>
                <w:szCs w:val="9"/>
                <w:color w:val="auto"/>
              </w:rPr>
            </w:pPr>
          </w:p>
        </w:tc>
        <w:tc>
          <w:tcPr>
            <w:tcW w:w="300" w:type="dxa"/>
            <w:vAlign w:val="bottom"/>
          </w:tcPr>
          <w:p>
            <w:pPr>
              <w:spacing w:after="0"/>
              <w:rPr>
                <w:sz w:val="9"/>
                <w:szCs w:val="9"/>
                <w:color w:val="auto"/>
              </w:rPr>
            </w:pPr>
          </w:p>
        </w:tc>
        <w:tc>
          <w:tcPr>
            <w:tcW w:w="9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69"/>
        </w:trPr>
        <w:tc>
          <w:tcPr>
            <w:tcW w:w="6420" w:type="dxa"/>
            <w:vAlign w:val="bottom"/>
            <w:tcBorders>
              <w:bottom w:val="single" w:sz="8" w:color="CCEEFF"/>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160" w:type="dxa"/>
            <w:vAlign w:val="bottom"/>
            <w:tcBorders>
              <w:bottom w:val="single" w:sz="8" w:color="auto"/>
            </w:tcBorders>
            <w:vMerge w:val="continue"/>
          </w:tcPr>
          <w:p>
            <w:pPr>
              <w:spacing w:after="0"/>
              <w:rPr>
                <w:sz w:val="6"/>
                <w:szCs w:val="6"/>
                <w:color w:val="auto"/>
              </w:rPr>
            </w:pPr>
          </w:p>
        </w:tc>
        <w:tc>
          <w:tcPr>
            <w:tcW w:w="80" w:type="dxa"/>
            <w:vAlign w:val="bottom"/>
            <w:tcBorders>
              <w:bottom w:val="single" w:sz="8" w:color="CCEEFF"/>
            </w:tcBorders>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1260" w:type="dxa"/>
            <w:vAlign w:val="bottom"/>
            <w:tcBorders>
              <w:bottom w:val="single" w:sz="8" w:color="auto"/>
            </w:tcBorders>
            <w:vMerge w:val="continue"/>
          </w:tcPr>
          <w:p>
            <w:pPr>
              <w:spacing w:after="0"/>
              <w:rPr>
                <w:sz w:val="6"/>
                <w:szCs w:val="6"/>
                <w:color w:val="auto"/>
              </w:rPr>
            </w:pPr>
          </w:p>
        </w:tc>
        <w:tc>
          <w:tcPr>
            <w:tcW w:w="80" w:type="dxa"/>
            <w:vAlign w:val="bottom"/>
            <w:tcBorders>
              <w:bottom w:val="single" w:sz="8" w:color="CCEEFF"/>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96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79"/>
        </w:trPr>
        <w:tc>
          <w:tcPr>
            <w:tcW w:w="6420" w:type="dxa"/>
            <w:vAlign w:val="bottom"/>
            <w:shd w:val="clear" w:color="auto" w:fill="CCEEFF"/>
          </w:tcPr>
          <w:p>
            <w:pPr>
              <w:ind w:left="20"/>
              <w:spacing w:after="0"/>
              <w:rPr>
                <w:sz w:val="20"/>
                <w:szCs w:val="20"/>
                <w:color w:val="auto"/>
              </w:rPr>
            </w:pPr>
            <w:r>
              <w:rPr>
                <w:rFonts w:ascii="Arial" w:cs="Arial" w:eastAsia="Arial" w:hAnsi="Arial"/>
                <w:sz w:val="14"/>
                <w:szCs w:val="14"/>
                <w:color w:val="auto"/>
              </w:rPr>
              <w:t>Customer relationships</w:t>
            </w: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667</w:t>
            </w:r>
          </w:p>
        </w:tc>
        <w:tc>
          <w:tcPr>
            <w:tcW w:w="260" w:type="dxa"/>
            <w:vAlign w:val="bottom"/>
            <w:gridSpan w:val="2"/>
            <w:shd w:val="clear" w:color="auto" w:fill="CCEEFF"/>
          </w:tcPr>
          <w:p>
            <w:pPr>
              <w:jc w:val="right"/>
              <w:ind w:right="80"/>
              <w:spacing w:after="0"/>
              <w:rPr>
                <w:sz w:val="20"/>
                <w:szCs w:val="20"/>
                <w:color w:val="auto"/>
              </w:rPr>
            </w:pPr>
            <w:r>
              <w:rPr>
                <w:rFonts w:ascii="Arial" w:cs="Arial" w:eastAsia="Arial" w:hAnsi="Arial"/>
                <w:sz w:val="14"/>
                <w:szCs w:val="14"/>
                <w:color w:val="auto"/>
              </w:rPr>
              <w:t>$</w:t>
            </w:r>
          </w:p>
        </w:tc>
        <w:tc>
          <w:tcPr>
            <w:tcW w:w="12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(411)</w:t>
            </w:r>
          </w:p>
        </w:tc>
        <w:tc>
          <w:tcPr>
            <w:tcW w:w="380" w:type="dxa"/>
            <w:vAlign w:val="bottom"/>
            <w:gridSpan w:val="2"/>
            <w:shd w:val="clear" w:color="auto" w:fill="CCEEFF"/>
          </w:tcPr>
          <w:p>
            <w:pPr>
              <w:jc w:val="right"/>
              <w:ind w:right="220"/>
              <w:spacing w:after="0"/>
              <w:rPr>
                <w:sz w:val="20"/>
                <w:szCs w:val="20"/>
                <w:color w:val="auto"/>
              </w:rPr>
            </w:pPr>
            <w:r>
              <w:rPr>
                <w:rFonts w:ascii="Arial" w:cs="Arial" w:eastAsia="Arial" w:hAnsi="Arial"/>
                <w:sz w:val="14"/>
                <w:szCs w:val="14"/>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256</w:t>
            </w:r>
          </w:p>
        </w:tc>
        <w:tc>
          <w:tcPr>
            <w:tcW w:w="0" w:type="dxa"/>
            <w:vAlign w:val="bottom"/>
          </w:tcPr>
          <w:p>
            <w:pPr>
              <w:spacing w:after="0"/>
              <w:rPr>
                <w:sz w:val="1"/>
                <w:szCs w:val="1"/>
                <w:color w:val="auto"/>
              </w:rPr>
            </w:pPr>
          </w:p>
        </w:tc>
      </w:tr>
      <w:tr>
        <w:trPr>
          <w:trHeight w:val="185"/>
        </w:trPr>
        <w:tc>
          <w:tcPr>
            <w:tcW w:w="6420" w:type="dxa"/>
            <w:vAlign w:val="bottom"/>
          </w:tcPr>
          <w:p>
            <w:pPr>
              <w:ind w:left="20"/>
              <w:spacing w:after="0"/>
              <w:rPr>
                <w:sz w:val="20"/>
                <w:szCs w:val="20"/>
                <w:color w:val="auto"/>
              </w:rPr>
            </w:pPr>
            <w:r>
              <w:rPr>
                <w:rFonts w:ascii="Arial" w:cs="Arial" w:eastAsia="Arial" w:hAnsi="Arial"/>
                <w:sz w:val="14"/>
                <w:szCs w:val="14"/>
                <w:color w:val="auto"/>
              </w:rPr>
              <w:t>Developed technologies</w:t>
            </w:r>
          </w:p>
        </w:tc>
        <w:tc>
          <w:tcPr>
            <w:tcW w:w="14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889</w:t>
            </w:r>
          </w:p>
        </w:tc>
        <w:tc>
          <w:tcPr>
            <w:tcW w:w="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60" w:type="dxa"/>
            <w:vAlign w:val="bottom"/>
          </w:tcPr>
          <w:p>
            <w:pPr>
              <w:jc w:val="right"/>
              <w:spacing w:after="0"/>
              <w:rPr>
                <w:sz w:val="20"/>
                <w:szCs w:val="20"/>
                <w:color w:val="auto"/>
              </w:rPr>
            </w:pPr>
            <w:r>
              <w:rPr>
                <w:rFonts w:ascii="Arial" w:cs="Arial" w:eastAsia="Arial" w:hAnsi="Arial"/>
                <w:sz w:val="14"/>
                <w:szCs w:val="14"/>
                <w:color w:val="auto"/>
              </w:rPr>
              <w:t>(727)</w:t>
            </w:r>
          </w:p>
        </w:tc>
        <w:tc>
          <w:tcPr>
            <w:tcW w:w="8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960" w:type="dxa"/>
            <w:vAlign w:val="bottom"/>
          </w:tcPr>
          <w:p>
            <w:pPr>
              <w:jc w:val="right"/>
              <w:spacing w:after="0"/>
              <w:rPr>
                <w:sz w:val="20"/>
                <w:szCs w:val="20"/>
                <w:color w:val="auto"/>
              </w:rPr>
            </w:pPr>
            <w:r>
              <w:rPr>
                <w:rFonts w:ascii="Arial" w:cs="Arial" w:eastAsia="Arial" w:hAnsi="Arial"/>
                <w:sz w:val="14"/>
                <w:szCs w:val="14"/>
                <w:color w:val="auto"/>
              </w:rPr>
              <w:t>162</w:t>
            </w:r>
          </w:p>
        </w:tc>
        <w:tc>
          <w:tcPr>
            <w:tcW w:w="0" w:type="dxa"/>
            <w:vAlign w:val="bottom"/>
          </w:tcPr>
          <w:p>
            <w:pPr>
              <w:spacing w:after="0"/>
              <w:rPr>
                <w:sz w:val="1"/>
                <w:szCs w:val="1"/>
                <w:color w:val="auto"/>
              </w:rPr>
            </w:pPr>
          </w:p>
        </w:tc>
      </w:tr>
      <w:tr>
        <w:trPr>
          <w:trHeight w:val="190"/>
        </w:trPr>
        <w:tc>
          <w:tcPr>
            <w:tcW w:w="6420" w:type="dxa"/>
            <w:vAlign w:val="bottom"/>
            <w:shd w:val="clear" w:color="auto" w:fill="CCEEFF"/>
          </w:tcPr>
          <w:p>
            <w:pPr>
              <w:ind w:left="20"/>
              <w:spacing w:after="0"/>
              <w:rPr>
                <w:sz w:val="20"/>
                <w:szCs w:val="20"/>
                <w:color w:val="auto"/>
              </w:rPr>
            </w:pPr>
            <w:r>
              <w:rPr>
                <w:rFonts w:ascii="Arial" w:cs="Arial" w:eastAsia="Arial" w:hAnsi="Arial"/>
                <w:sz w:val="14"/>
                <w:szCs w:val="14"/>
                <w:color w:val="auto"/>
              </w:rPr>
              <w:t>Trade names and patents</w:t>
            </w:r>
          </w:p>
        </w:tc>
        <w:tc>
          <w:tcPr>
            <w:tcW w:w="140" w:type="dxa"/>
            <w:vAlign w:val="bottom"/>
            <w:tcBorders>
              <w:bottom w:val="single" w:sz="8" w:color="auto"/>
            </w:tcBorders>
            <w:shd w:val="clear" w:color="auto" w:fill="CCEEFF"/>
          </w:tcPr>
          <w:p>
            <w:pPr>
              <w:spacing w:after="0"/>
              <w:rPr>
                <w:sz w:val="16"/>
                <w:szCs w:val="16"/>
                <w:color w:val="auto"/>
              </w:rPr>
            </w:pPr>
          </w:p>
        </w:tc>
        <w:tc>
          <w:tcPr>
            <w:tcW w:w="11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116</w:t>
            </w:r>
          </w:p>
        </w:tc>
        <w:tc>
          <w:tcPr>
            <w:tcW w:w="80" w:type="dxa"/>
            <w:vAlign w:val="bottom"/>
            <w:shd w:val="clear" w:color="auto" w:fill="CCEEFF"/>
          </w:tcPr>
          <w:p>
            <w:pPr>
              <w:spacing w:after="0"/>
              <w:rPr>
                <w:sz w:val="16"/>
                <w:szCs w:val="16"/>
                <w:color w:val="auto"/>
              </w:rPr>
            </w:pPr>
          </w:p>
        </w:tc>
        <w:tc>
          <w:tcPr>
            <w:tcW w:w="180" w:type="dxa"/>
            <w:vAlign w:val="bottom"/>
            <w:tcBorders>
              <w:bottom w:val="single" w:sz="8" w:color="auto"/>
            </w:tcBorders>
            <w:shd w:val="clear" w:color="auto" w:fill="CCEEFF"/>
          </w:tcPr>
          <w:p>
            <w:pPr>
              <w:spacing w:after="0"/>
              <w:rPr>
                <w:sz w:val="16"/>
                <w:szCs w:val="16"/>
                <w:color w:val="auto"/>
              </w:rPr>
            </w:pPr>
          </w:p>
        </w:tc>
        <w:tc>
          <w:tcPr>
            <w:tcW w:w="12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(108)</w:t>
            </w:r>
          </w:p>
        </w:tc>
        <w:tc>
          <w:tcPr>
            <w:tcW w:w="80" w:type="dxa"/>
            <w:vAlign w:val="bottom"/>
            <w:shd w:val="clear" w:color="auto" w:fill="CCEEFF"/>
          </w:tcPr>
          <w:p>
            <w:pPr>
              <w:spacing w:after="0"/>
              <w:rPr>
                <w:sz w:val="16"/>
                <w:szCs w:val="16"/>
                <w:color w:val="auto"/>
              </w:rPr>
            </w:pPr>
          </w:p>
        </w:tc>
        <w:tc>
          <w:tcPr>
            <w:tcW w:w="300" w:type="dxa"/>
            <w:vAlign w:val="bottom"/>
            <w:tcBorders>
              <w:bottom w:val="single" w:sz="8" w:color="auto"/>
            </w:tcBorders>
            <w:shd w:val="clear" w:color="auto" w:fill="CCEEFF"/>
          </w:tcPr>
          <w:p>
            <w:pPr>
              <w:spacing w:after="0"/>
              <w:rPr>
                <w:sz w:val="16"/>
                <w:szCs w:val="16"/>
                <w:color w:val="auto"/>
              </w:rPr>
            </w:pPr>
          </w:p>
        </w:tc>
        <w:tc>
          <w:tcPr>
            <w:tcW w:w="960" w:type="dxa"/>
            <w:vAlign w:val="bottom"/>
            <w:tcBorders>
              <w:bottom w:val="single" w:sz="8" w:color="auto"/>
            </w:tcBorders>
            <w:shd w:val="clear" w:color="auto" w:fill="CCEEFF"/>
          </w:tcPr>
          <w:p>
            <w:pPr>
              <w:jc w:val="right"/>
              <w:ind w:right="11"/>
              <w:spacing w:after="0"/>
              <w:rPr>
                <w:sz w:val="20"/>
                <w:szCs w:val="20"/>
                <w:color w:val="auto"/>
              </w:rPr>
            </w:pPr>
            <w:r>
              <w:rPr>
                <w:rFonts w:ascii="Arial" w:cs="Arial" w:eastAsia="Arial" w:hAnsi="Arial"/>
                <w:sz w:val="14"/>
                <w:szCs w:val="14"/>
                <w:color w:val="auto"/>
              </w:rPr>
              <w:t>8</w:t>
            </w:r>
          </w:p>
        </w:tc>
        <w:tc>
          <w:tcPr>
            <w:tcW w:w="0" w:type="dxa"/>
            <w:vAlign w:val="bottom"/>
          </w:tcPr>
          <w:p>
            <w:pPr>
              <w:spacing w:after="0"/>
              <w:rPr>
                <w:sz w:val="1"/>
                <w:szCs w:val="1"/>
                <w:color w:val="auto"/>
              </w:rPr>
            </w:pPr>
          </w:p>
        </w:tc>
      </w:tr>
      <w:tr>
        <w:trPr>
          <w:trHeight w:val="177"/>
        </w:trPr>
        <w:tc>
          <w:tcPr>
            <w:tcW w:w="6420" w:type="dxa"/>
            <w:vAlign w:val="bottom"/>
          </w:tcPr>
          <w:p>
            <w:pPr>
              <w:ind w:left="20"/>
              <w:spacing w:after="0"/>
              <w:rPr>
                <w:sz w:val="20"/>
                <w:szCs w:val="20"/>
                <w:color w:val="auto"/>
              </w:rPr>
            </w:pPr>
            <w:r>
              <w:rPr>
                <w:rFonts w:ascii="Arial" w:cs="Arial" w:eastAsia="Arial" w:hAnsi="Arial"/>
                <w:sz w:val="14"/>
                <w:szCs w:val="14"/>
                <w:color w:val="auto"/>
              </w:rPr>
              <w:t>Total intangible assets</w:t>
            </w:r>
          </w:p>
        </w:tc>
        <w:tc>
          <w:tcPr>
            <w:tcW w:w="140" w:type="dxa"/>
            <w:vAlign w:val="bottom"/>
          </w:tcPr>
          <w:p>
            <w:pPr>
              <w:jc w:val="right"/>
              <w:spacing w:after="0"/>
              <w:rPr>
                <w:sz w:val="20"/>
                <w:szCs w:val="20"/>
                <w:color w:val="auto"/>
              </w:rPr>
            </w:pPr>
            <w:r>
              <w:rPr>
                <w:rFonts w:ascii="Arial" w:cs="Arial" w:eastAsia="Arial" w:hAnsi="Arial"/>
                <w:sz w:val="14"/>
                <w:szCs w:val="14"/>
                <w:color w:val="auto"/>
                <w:w w:val="76"/>
              </w:rPr>
              <w:t>$</w:t>
            </w:r>
          </w:p>
        </w:tc>
        <w:tc>
          <w:tcPr>
            <w:tcW w:w="1160" w:type="dxa"/>
            <w:vAlign w:val="bottom"/>
          </w:tcPr>
          <w:p>
            <w:pPr>
              <w:jc w:val="right"/>
              <w:spacing w:after="0"/>
              <w:rPr>
                <w:sz w:val="20"/>
                <w:szCs w:val="20"/>
                <w:color w:val="auto"/>
              </w:rPr>
            </w:pPr>
            <w:r>
              <w:rPr>
                <w:rFonts w:ascii="Arial" w:cs="Arial" w:eastAsia="Arial" w:hAnsi="Arial"/>
                <w:sz w:val="14"/>
                <w:szCs w:val="14"/>
                <w:color w:val="auto"/>
              </w:rPr>
              <w:t>1,672</w:t>
            </w:r>
          </w:p>
        </w:tc>
        <w:tc>
          <w:tcPr>
            <w:tcW w:w="260" w:type="dxa"/>
            <w:vAlign w:val="bottom"/>
            <w:gridSpan w:val="2"/>
          </w:tcPr>
          <w:p>
            <w:pPr>
              <w:jc w:val="right"/>
              <w:ind w:right="80"/>
              <w:spacing w:after="0"/>
              <w:rPr>
                <w:sz w:val="20"/>
                <w:szCs w:val="20"/>
                <w:color w:val="auto"/>
              </w:rPr>
            </w:pPr>
            <w:r>
              <w:rPr>
                <w:rFonts w:ascii="Arial" w:cs="Arial" w:eastAsia="Arial" w:hAnsi="Arial"/>
                <w:sz w:val="14"/>
                <w:szCs w:val="14"/>
                <w:color w:val="auto"/>
              </w:rPr>
              <w:t>$</w:t>
            </w:r>
          </w:p>
        </w:tc>
        <w:tc>
          <w:tcPr>
            <w:tcW w:w="1260" w:type="dxa"/>
            <w:vAlign w:val="bottom"/>
          </w:tcPr>
          <w:p>
            <w:pPr>
              <w:jc w:val="right"/>
              <w:spacing w:after="0"/>
              <w:rPr>
                <w:sz w:val="20"/>
                <w:szCs w:val="20"/>
                <w:color w:val="auto"/>
              </w:rPr>
            </w:pPr>
            <w:r>
              <w:rPr>
                <w:rFonts w:ascii="Arial" w:cs="Arial" w:eastAsia="Arial" w:hAnsi="Arial"/>
                <w:sz w:val="14"/>
                <w:szCs w:val="14"/>
                <w:color w:val="auto"/>
              </w:rPr>
              <w:t>(1,246)</w:t>
            </w:r>
          </w:p>
        </w:tc>
        <w:tc>
          <w:tcPr>
            <w:tcW w:w="380" w:type="dxa"/>
            <w:vAlign w:val="bottom"/>
            <w:gridSpan w:val="2"/>
          </w:tcPr>
          <w:p>
            <w:pPr>
              <w:jc w:val="right"/>
              <w:ind w:right="220"/>
              <w:spacing w:after="0"/>
              <w:rPr>
                <w:sz w:val="20"/>
                <w:szCs w:val="20"/>
                <w:color w:val="auto"/>
              </w:rPr>
            </w:pPr>
            <w:r>
              <w:rPr>
                <w:rFonts w:ascii="Arial" w:cs="Arial" w:eastAsia="Arial" w:hAnsi="Arial"/>
                <w:sz w:val="14"/>
                <w:szCs w:val="14"/>
                <w:color w:val="auto"/>
              </w:rPr>
              <w:t>$</w:t>
            </w:r>
          </w:p>
        </w:tc>
        <w:tc>
          <w:tcPr>
            <w:tcW w:w="960" w:type="dxa"/>
            <w:vAlign w:val="bottom"/>
          </w:tcPr>
          <w:p>
            <w:pPr>
              <w:jc w:val="right"/>
              <w:spacing w:after="0"/>
              <w:rPr>
                <w:sz w:val="20"/>
                <w:szCs w:val="20"/>
                <w:color w:val="auto"/>
              </w:rPr>
            </w:pPr>
            <w:r>
              <w:rPr>
                <w:rFonts w:ascii="Arial" w:cs="Arial" w:eastAsia="Arial" w:hAnsi="Arial"/>
                <w:sz w:val="14"/>
                <w:szCs w:val="14"/>
                <w:color w:val="auto"/>
              </w:rPr>
              <w:t>426</w:t>
            </w:r>
          </w:p>
        </w:tc>
        <w:tc>
          <w:tcPr>
            <w:tcW w:w="0" w:type="dxa"/>
            <w:vAlign w:val="bottom"/>
          </w:tcPr>
          <w:p>
            <w:pPr>
              <w:spacing w:after="0"/>
              <w:rPr>
                <w:sz w:val="1"/>
                <w:szCs w:val="1"/>
                <w:color w:val="auto"/>
              </w:rPr>
            </w:pPr>
          </w:p>
        </w:tc>
      </w:tr>
      <w:tr>
        <w:trPr>
          <w:trHeight w:val="20"/>
        </w:trPr>
        <w:tc>
          <w:tcPr>
            <w:tcW w:w="642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63"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w:t>
      </w:r>
    </w:p>
    <w:p>
      <w:pPr>
        <w:spacing w:after="0" w:line="12" w:lineRule="exact"/>
        <w:rPr>
          <w:sz w:val="20"/>
          <w:szCs w:val="20"/>
          <w:color w:val="auto"/>
        </w:rPr>
      </w:pPr>
    </w:p>
    <w:p>
      <w:pPr>
        <w:spacing w:after="0"/>
        <w:tabs>
          <w:tab w:leader="none" w:pos="340" w:val="left"/>
        </w:tabs>
        <w:rPr>
          <w:sz w:val="20"/>
          <w:szCs w:val="20"/>
          <w:color w:val="auto"/>
        </w:rPr>
      </w:pPr>
      <w:r>
        <w:rPr>
          <w:rFonts w:ascii="Arial" w:cs="Arial" w:eastAsia="Arial" w:hAnsi="Arial"/>
          <w:sz w:val="14"/>
          <w:szCs w:val="14"/>
          <w:color w:val="auto"/>
        </w:rPr>
        <w:t>(1)</w:t>
        <w:tab/>
        <w:t>Includes the effects of foreign currency translation.</w:t>
      </w:r>
    </w:p>
    <w:p>
      <w:pPr>
        <w:spacing w:after="0" w:line="244"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6340" w:type="dxa"/>
            <w:vAlign w:val="bottom"/>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1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260" w:type="dxa"/>
            <w:vAlign w:val="bottom"/>
            <w:tcBorders>
              <w:bottom w:val="single" w:sz="8" w:color="auto"/>
            </w:tcBorders>
          </w:tcPr>
          <w:p>
            <w:pPr>
              <w:jc w:val="right"/>
              <w:ind w:right="92"/>
              <w:spacing w:after="0"/>
              <w:rPr>
                <w:sz w:val="20"/>
                <w:szCs w:val="20"/>
                <w:color w:val="auto"/>
              </w:rPr>
            </w:pPr>
            <w:r>
              <w:rPr>
                <w:rFonts w:ascii="Arial" w:cs="Arial" w:eastAsia="Arial" w:hAnsi="Arial"/>
                <w:sz w:val="13"/>
                <w:szCs w:val="13"/>
                <w:b w:val="1"/>
                <w:bCs w:val="1"/>
                <w:color w:val="auto"/>
              </w:rPr>
              <w:t>January 31, 2023</w:t>
            </w:r>
          </w:p>
        </w:tc>
        <w:tc>
          <w:tcPr>
            <w:tcW w:w="8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1"/>
        </w:trPr>
        <w:tc>
          <w:tcPr>
            <w:tcW w:w="63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160" w:type="dxa"/>
            <w:vAlign w:val="bottom"/>
          </w:tcPr>
          <w:p>
            <w:pPr>
              <w:jc w:val="right"/>
              <w:ind w:right="112"/>
              <w:spacing w:after="0" w:line="121" w:lineRule="exact"/>
              <w:rPr>
                <w:sz w:val="20"/>
                <w:szCs w:val="20"/>
                <w:color w:val="auto"/>
              </w:rPr>
            </w:pPr>
            <w:r>
              <w:rPr>
                <w:rFonts w:ascii="Arial" w:cs="Arial" w:eastAsia="Arial" w:hAnsi="Arial"/>
                <w:sz w:val="13"/>
                <w:szCs w:val="13"/>
                <w:b w:val="1"/>
                <w:bCs w:val="1"/>
                <w:color w:val="auto"/>
              </w:rPr>
              <w:t>Gross Carrying</w:t>
            </w:r>
          </w:p>
        </w:tc>
        <w:tc>
          <w:tcPr>
            <w:tcW w:w="8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260" w:type="dxa"/>
            <w:vAlign w:val="bottom"/>
          </w:tcPr>
          <w:p>
            <w:pPr>
              <w:jc w:val="right"/>
              <w:ind w:right="232"/>
              <w:spacing w:after="0" w:line="121" w:lineRule="exact"/>
              <w:rPr>
                <w:sz w:val="20"/>
                <w:szCs w:val="20"/>
                <w:color w:val="auto"/>
              </w:rPr>
            </w:pPr>
            <w:r>
              <w:rPr>
                <w:rFonts w:ascii="Arial" w:cs="Arial" w:eastAsia="Arial" w:hAnsi="Arial"/>
                <w:sz w:val="13"/>
                <w:szCs w:val="13"/>
                <w:b w:val="1"/>
                <w:bCs w:val="1"/>
                <w:color w:val="auto"/>
              </w:rPr>
              <w:t>Accumulated</w:t>
            </w:r>
          </w:p>
        </w:tc>
        <w:tc>
          <w:tcPr>
            <w:tcW w:w="8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40" w:type="dxa"/>
            <w:vAlign w:val="bottom"/>
            <w:vMerge w:val="restart"/>
          </w:tcPr>
          <w:p>
            <w:pPr>
              <w:jc w:val="right"/>
              <w:ind w:right="511"/>
              <w:spacing w:after="0"/>
              <w:rPr>
                <w:sz w:val="20"/>
                <w:szCs w:val="20"/>
                <w:color w:val="auto"/>
              </w:rPr>
            </w:pPr>
            <w:r>
              <w:rPr>
                <w:rFonts w:ascii="Arial" w:cs="Arial" w:eastAsia="Arial" w:hAnsi="Arial"/>
                <w:sz w:val="13"/>
                <w:szCs w:val="13"/>
                <w:b w:val="1"/>
                <w:bCs w:val="1"/>
                <w:color w:val="auto"/>
              </w:rPr>
              <w:t>Net</w:t>
            </w:r>
          </w:p>
        </w:tc>
        <w:tc>
          <w:tcPr>
            <w:tcW w:w="0" w:type="dxa"/>
            <w:vAlign w:val="bottom"/>
          </w:tcPr>
          <w:p>
            <w:pPr>
              <w:spacing w:after="0"/>
              <w:rPr>
                <w:sz w:val="1"/>
                <w:szCs w:val="1"/>
                <w:color w:val="auto"/>
              </w:rPr>
            </w:pPr>
          </w:p>
        </w:tc>
      </w:tr>
      <w:tr>
        <w:trPr>
          <w:trHeight w:val="107"/>
        </w:trPr>
        <w:tc>
          <w:tcPr>
            <w:tcW w:w="6340" w:type="dxa"/>
            <w:vAlign w:val="bottom"/>
          </w:tcPr>
          <w:p>
            <w:pPr>
              <w:spacing w:after="0"/>
              <w:rPr>
                <w:sz w:val="9"/>
                <w:szCs w:val="9"/>
                <w:color w:val="auto"/>
              </w:rPr>
            </w:pPr>
          </w:p>
        </w:tc>
        <w:tc>
          <w:tcPr>
            <w:tcW w:w="140" w:type="dxa"/>
            <w:vAlign w:val="bottom"/>
          </w:tcPr>
          <w:p>
            <w:pPr>
              <w:spacing w:after="0"/>
              <w:rPr>
                <w:sz w:val="9"/>
                <w:szCs w:val="9"/>
                <w:color w:val="auto"/>
              </w:rPr>
            </w:pPr>
          </w:p>
        </w:tc>
        <w:tc>
          <w:tcPr>
            <w:tcW w:w="1160" w:type="dxa"/>
            <w:vAlign w:val="bottom"/>
            <w:vMerge w:val="restart"/>
          </w:tcPr>
          <w:p>
            <w:pPr>
              <w:jc w:val="right"/>
              <w:ind w:right="232"/>
              <w:spacing w:after="0"/>
              <w:rPr>
                <w:sz w:val="20"/>
                <w:szCs w:val="20"/>
                <w:color w:val="auto"/>
              </w:rPr>
            </w:pPr>
            <w:r>
              <w:rPr>
                <w:rFonts w:ascii="Arial" w:cs="Arial" w:eastAsia="Arial" w:hAnsi="Arial"/>
                <w:sz w:val="13"/>
                <w:szCs w:val="13"/>
                <w:b w:val="1"/>
                <w:bCs w:val="1"/>
                <w:color w:val="auto"/>
              </w:rPr>
              <w:t>Amount (1)</w:t>
            </w:r>
          </w:p>
        </w:tc>
        <w:tc>
          <w:tcPr>
            <w:tcW w:w="8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60" w:type="dxa"/>
            <w:vAlign w:val="bottom"/>
            <w:vMerge w:val="restart"/>
          </w:tcPr>
          <w:p>
            <w:pPr>
              <w:jc w:val="right"/>
              <w:ind w:right="252"/>
              <w:spacing w:after="0"/>
              <w:rPr>
                <w:sz w:val="20"/>
                <w:szCs w:val="20"/>
                <w:color w:val="auto"/>
              </w:rPr>
            </w:pPr>
            <w:r>
              <w:rPr>
                <w:rFonts w:ascii="Arial" w:cs="Arial" w:eastAsia="Arial" w:hAnsi="Arial"/>
                <w:sz w:val="13"/>
                <w:szCs w:val="13"/>
                <w:b w:val="1"/>
                <w:bCs w:val="1"/>
                <w:color w:val="auto"/>
              </w:rPr>
              <w:t>Amortization</w:t>
            </w:r>
          </w:p>
        </w:tc>
        <w:tc>
          <w:tcPr>
            <w:tcW w:w="80" w:type="dxa"/>
            <w:vAlign w:val="bottom"/>
          </w:tcPr>
          <w:p>
            <w:pPr>
              <w:spacing w:after="0"/>
              <w:rPr>
                <w:sz w:val="9"/>
                <w:szCs w:val="9"/>
                <w:color w:val="auto"/>
              </w:rPr>
            </w:pPr>
          </w:p>
        </w:tc>
        <w:tc>
          <w:tcPr>
            <w:tcW w:w="320" w:type="dxa"/>
            <w:vAlign w:val="bottom"/>
          </w:tcPr>
          <w:p>
            <w:pPr>
              <w:spacing w:after="0"/>
              <w:rPr>
                <w:sz w:val="9"/>
                <w:szCs w:val="9"/>
                <w:color w:val="auto"/>
              </w:rPr>
            </w:pPr>
          </w:p>
        </w:tc>
        <w:tc>
          <w:tcPr>
            <w:tcW w:w="1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69"/>
        </w:trPr>
        <w:tc>
          <w:tcPr>
            <w:tcW w:w="6340" w:type="dxa"/>
            <w:vAlign w:val="bottom"/>
            <w:tcBorders>
              <w:bottom w:val="single" w:sz="8" w:color="CCEEFF"/>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160" w:type="dxa"/>
            <w:vAlign w:val="bottom"/>
            <w:tcBorders>
              <w:bottom w:val="single" w:sz="8" w:color="auto"/>
            </w:tcBorders>
            <w:vMerge w:val="continue"/>
          </w:tcPr>
          <w:p>
            <w:pPr>
              <w:spacing w:after="0"/>
              <w:rPr>
                <w:sz w:val="6"/>
                <w:szCs w:val="6"/>
                <w:color w:val="auto"/>
              </w:rPr>
            </w:pPr>
          </w:p>
        </w:tc>
        <w:tc>
          <w:tcPr>
            <w:tcW w:w="80" w:type="dxa"/>
            <w:vAlign w:val="bottom"/>
            <w:tcBorders>
              <w:bottom w:val="single" w:sz="8" w:color="CCEEFF"/>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1260" w:type="dxa"/>
            <w:vAlign w:val="bottom"/>
            <w:tcBorders>
              <w:bottom w:val="single" w:sz="8" w:color="auto"/>
            </w:tcBorders>
            <w:vMerge w:val="continue"/>
          </w:tcPr>
          <w:p>
            <w:pPr>
              <w:spacing w:after="0"/>
              <w:rPr>
                <w:sz w:val="6"/>
                <w:szCs w:val="6"/>
                <w:color w:val="auto"/>
              </w:rPr>
            </w:pPr>
          </w:p>
        </w:tc>
        <w:tc>
          <w:tcPr>
            <w:tcW w:w="80" w:type="dxa"/>
            <w:vAlign w:val="bottom"/>
            <w:tcBorders>
              <w:bottom w:val="single" w:sz="8" w:color="CCEEFF"/>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04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79"/>
        </w:trPr>
        <w:tc>
          <w:tcPr>
            <w:tcW w:w="6340" w:type="dxa"/>
            <w:vAlign w:val="bottom"/>
            <w:shd w:val="clear" w:color="auto" w:fill="CCEEFF"/>
          </w:tcPr>
          <w:p>
            <w:pPr>
              <w:ind w:left="20"/>
              <w:spacing w:after="0"/>
              <w:rPr>
                <w:sz w:val="20"/>
                <w:szCs w:val="20"/>
                <w:color w:val="auto"/>
              </w:rPr>
            </w:pPr>
            <w:r>
              <w:rPr>
                <w:rFonts w:ascii="Arial" w:cs="Arial" w:eastAsia="Arial" w:hAnsi="Arial"/>
                <w:sz w:val="14"/>
                <w:szCs w:val="14"/>
                <w:color w:val="auto"/>
              </w:rPr>
              <w:t>Customer relationships</w:t>
            </w: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659</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(402)</w:t>
            </w:r>
          </w:p>
        </w:tc>
        <w:tc>
          <w:tcPr>
            <w:tcW w:w="400" w:type="dxa"/>
            <w:vAlign w:val="bottom"/>
            <w:gridSpan w:val="2"/>
            <w:shd w:val="clear" w:color="auto" w:fill="CCEEFF"/>
          </w:tcPr>
          <w:p>
            <w:pPr>
              <w:jc w:val="right"/>
              <w:ind w:right="240"/>
              <w:spacing w:after="0"/>
              <w:rPr>
                <w:sz w:val="20"/>
                <w:szCs w:val="20"/>
                <w:color w:val="auto"/>
              </w:rPr>
            </w:pPr>
            <w:r>
              <w:rPr>
                <w:rFonts w:ascii="Arial" w:cs="Arial" w:eastAsia="Arial" w:hAnsi="Arial"/>
                <w:sz w:val="14"/>
                <w:szCs w:val="14"/>
                <w:color w:val="auto"/>
              </w:rPr>
              <w:t>$</w:t>
            </w: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257</w:t>
            </w:r>
          </w:p>
        </w:tc>
        <w:tc>
          <w:tcPr>
            <w:tcW w:w="0" w:type="dxa"/>
            <w:vAlign w:val="bottom"/>
          </w:tcPr>
          <w:p>
            <w:pPr>
              <w:spacing w:after="0"/>
              <w:rPr>
                <w:sz w:val="1"/>
                <w:szCs w:val="1"/>
                <w:color w:val="auto"/>
              </w:rPr>
            </w:pPr>
          </w:p>
        </w:tc>
      </w:tr>
      <w:tr>
        <w:trPr>
          <w:trHeight w:val="185"/>
        </w:trPr>
        <w:tc>
          <w:tcPr>
            <w:tcW w:w="6340" w:type="dxa"/>
            <w:vAlign w:val="bottom"/>
          </w:tcPr>
          <w:p>
            <w:pPr>
              <w:ind w:left="20"/>
              <w:spacing w:after="0"/>
              <w:rPr>
                <w:sz w:val="20"/>
                <w:szCs w:val="20"/>
                <w:color w:val="auto"/>
              </w:rPr>
            </w:pPr>
            <w:r>
              <w:rPr>
                <w:rFonts w:ascii="Arial" w:cs="Arial" w:eastAsia="Arial" w:hAnsi="Arial"/>
                <w:sz w:val="14"/>
                <w:szCs w:val="14"/>
                <w:color w:val="auto"/>
              </w:rPr>
              <w:t>Developed technologies</w:t>
            </w:r>
          </w:p>
        </w:tc>
        <w:tc>
          <w:tcPr>
            <w:tcW w:w="140" w:type="dxa"/>
            <w:vAlign w:val="bottom"/>
          </w:tcPr>
          <w:p>
            <w:pPr>
              <w:spacing w:after="0"/>
              <w:rPr>
                <w:sz w:val="16"/>
                <w:szCs w:val="16"/>
                <w:color w:val="auto"/>
              </w:rPr>
            </w:pPr>
          </w:p>
        </w:tc>
        <w:tc>
          <w:tcPr>
            <w:tcW w:w="1160" w:type="dxa"/>
            <w:vAlign w:val="bottom"/>
          </w:tcPr>
          <w:p>
            <w:pPr>
              <w:jc w:val="right"/>
              <w:spacing w:after="0"/>
              <w:rPr>
                <w:sz w:val="20"/>
                <w:szCs w:val="20"/>
                <w:color w:val="auto"/>
              </w:rPr>
            </w:pPr>
            <w:r>
              <w:rPr>
                <w:rFonts w:ascii="Arial" w:cs="Arial" w:eastAsia="Arial" w:hAnsi="Arial"/>
                <w:sz w:val="14"/>
                <w:szCs w:val="14"/>
                <w:color w:val="auto"/>
              </w:rPr>
              <w:t>858</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60" w:type="dxa"/>
            <w:vAlign w:val="bottom"/>
          </w:tcPr>
          <w:p>
            <w:pPr>
              <w:jc w:val="right"/>
              <w:spacing w:after="0"/>
              <w:rPr>
                <w:sz w:val="20"/>
                <w:szCs w:val="20"/>
                <w:color w:val="auto"/>
              </w:rPr>
            </w:pPr>
            <w:r>
              <w:rPr>
                <w:rFonts w:ascii="Arial" w:cs="Arial" w:eastAsia="Arial" w:hAnsi="Arial"/>
                <w:sz w:val="14"/>
                <w:szCs w:val="14"/>
                <w:color w:val="auto"/>
              </w:rPr>
              <w:t>(718)</w:t>
            </w:r>
          </w:p>
        </w:tc>
        <w:tc>
          <w:tcPr>
            <w:tcW w:w="8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040" w:type="dxa"/>
            <w:vAlign w:val="bottom"/>
          </w:tcPr>
          <w:p>
            <w:pPr>
              <w:jc w:val="right"/>
              <w:spacing w:after="0"/>
              <w:rPr>
                <w:sz w:val="20"/>
                <w:szCs w:val="20"/>
                <w:color w:val="auto"/>
              </w:rPr>
            </w:pPr>
            <w:r>
              <w:rPr>
                <w:rFonts w:ascii="Arial" w:cs="Arial" w:eastAsia="Arial" w:hAnsi="Arial"/>
                <w:sz w:val="14"/>
                <w:szCs w:val="14"/>
                <w:color w:val="auto"/>
              </w:rPr>
              <w:t>140</w:t>
            </w:r>
          </w:p>
        </w:tc>
        <w:tc>
          <w:tcPr>
            <w:tcW w:w="0" w:type="dxa"/>
            <w:vAlign w:val="bottom"/>
          </w:tcPr>
          <w:p>
            <w:pPr>
              <w:spacing w:after="0"/>
              <w:rPr>
                <w:sz w:val="1"/>
                <w:szCs w:val="1"/>
                <w:color w:val="auto"/>
              </w:rPr>
            </w:pPr>
          </w:p>
        </w:tc>
      </w:tr>
      <w:tr>
        <w:trPr>
          <w:trHeight w:val="190"/>
        </w:trPr>
        <w:tc>
          <w:tcPr>
            <w:tcW w:w="6340" w:type="dxa"/>
            <w:vAlign w:val="bottom"/>
            <w:shd w:val="clear" w:color="auto" w:fill="CCEEFF"/>
          </w:tcPr>
          <w:p>
            <w:pPr>
              <w:ind w:left="20"/>
              <w:spacing w:after="0"/>
              <w:rPr>
                <w:sz w:val="20"/>
                <w:szCs w:val="20"/>
                <w:color w:val="auto"/>
              </w:rPr>
            </w:pPr>
            <w:r>
              <w:rPr>
                <w:rFonts w:ascii="Arial" w:cs="Arial" w:eastAsia="Arial" w:hAnsi="Arial"/>
                <w:sz w:val="14"/>
                <w:szCs w:val="14"/>
                <w:color w:val="auto"/>
              </w:rPr>
              <w:t>Trade names and patents</w:t>
            </w:r>
          </w:p>
        </w:tc>
        <w:tc>
          <w:tcPr>
            <w:tcW w:w="140" w:type="dxa"/>
            <w:vAlign w:val="bottom"/>
            <w:tcBorders>
              <w:bottom w:val="single" w:sz="8" w:color="auto"/>
            </w:tcBorders>
            <w:shd w:val="clear" w:color="auto" w:fill="CCEEFF"/>
          </w:tcPr>
          <w:p>
            <w:pPr>
              <w:spacing w:after="0"/>
              <w:rPr>
                <w:sz w:val="16"/>
                <w:szCs w:val="16"/>
                <w:color w:val="auto"/>
              </w:rPr>
            </w:pPr>
          </w:p>
        </w:tc>
        <w:tc>
          <w:tcPr>
            <w:tcW w:w="11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116</w:t>
            </w:r>
          </w:p>
        </w:tc>
        <w:tc>
          <w:tcPr>
            <w:tcW w:w="80" w:type="dxa"/>
            <w:vAlign w:val="bottom"/>
            <w:shd w:val="clear" w:color="auto" w:fill="CCEEFF"/>
          </w:tcPr>
          <w:p>
            <w:pPr>
              <w:spacing w:after="0"/>
              <w:rPr>
                <w:sz w:val="16"/>
                <w:szCs w:val="16"/>
                <w:color w:val="auto"/>
              </w:rPr>
            </w:pPr>
          </w:p>
        </w:tc>
        <w:tc>
          <w:tcPr>
            <w:tcW w:w="160" w:type="dxa"/>
            <w:vAlign w:val="bottom"/>
            <w:tcBorders>
              <w:bottom w:val="single" w:sz="8" w:color="auto"/>
            </w:tcBorders>
            <w:shd w:val="clear" w:color="auto" w:fill="CCEEFF"/>
          </w:tcPr>
          <w:p>
            <w:pPr>
              <w:spacing w:after="0"/>
              <w:rPr>
                <w:sz w:val="16"/>
                <w:szCs w:val="16"/>
                <w:color w:val="auto"/>
              </w:rPr>
            </w:pPr>
          </w:p>
        </w:tc>
        <w:tc>
          <w:tcPr>
            <w:tcW w:w="12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(106)</w:t>
            </w:r>
          </w:p>
        </w:tc>
        <w:tc>
          <w:tcPr>
            <w:tcW w:w="80" w:type="dxa"/>
            <w:vAlign w:val="bottom"/>
            <w:shd w:val="clear" w:color="auto" w:fill="CCEEFF"/>
          </w:tcPr>
          <w:p>
            <w:pPr>
              <w:spacing w:after="0"/>
              <w:rPr>
                <w:sz w:val="16"/>
                <w:szCs w:val="16"/>
                <w:color w:val="auto"/>
              </w:rPr>
            </w:pPr>
          </w:p>
        </w:tc>
        <w:tc>
          <w:tcPr>
            <w:tcW w:w="320" w:type="dxa"/>
            <w:vAlign w:val="bottom"/>
            <w:tcBorders>
              <w:bottom w:val="single" w:sz="8" w:color="auto"/>
            </w:tcBorders>
            <w:shd w:val="clear" w:color="auto" w:fill="CCEEFF"/>
          </w:tcPr>
          <w:p>
            <w:pPr>
              <w:spacing w:after="0"/>
              <w:rPr>
                <w:sz w:val="16"/>
                <w:szCs w:val="16"/>
                <w:color w:val="auto"/>
              </w:rPr>
            </w:pPr>
          </w:p>
        </w:tc>
        <w:tc>
          <w:tcPr>
            <w:tcW w:w="1040" w:type="dxa"/>
            <w:vAlign w:val="bottom"/>
            <w:tcBorders>
              <w:bottom w:val="single" w:sz="8" w:color="auto"/>
            </w:tcBorders>
            <w:shd w:val="clear" w:color="auto" w:fill="CCEEFF"/>
          </w:tcPr>
          <w:p>
            <w:pPr>
              <w:jc w:val="right"/>
              <w:ind w:right="11"/>
              <w:spacing w:after="0"/>
              <w:rPr>
                <w:sz w:val="20"/>
                <w:szCs w:val="20"/>
                <w:color w:val="auto"/>
              </w:rPr>
            </w:pPr>
            <w:r>
              <w:rPr>
                <w:rFonts w:ascii="Arial" w:cs="Arial" w:eastAsia="Arial" w:hAnsi="Arial"/>
                <w:sz w:val="14"/>
                <w:szCs w:val="14"/>
                <w:color w:val="auto"/>
              </w:rPr>
              <w:t>10</w:t>
            </w:r>
          </w:p>
        </w:tc>
        <w:tc>
          <w:tcPr>
            <w:tcW w:w="0" w:type="dxa"/>
            <w:vAlign w:val="bottom"/>
          </w:tcPr>
          <w:p>
            <w:pPr>
              <w:spacing w:after="0"/>
              <w:rPr>
                <w:sz w:val="1"/>
                <w:szCs w:val="1"/>
                <w:color w:val="auto"/>
              </w:rPr>
            </w:pPr>
          </w:p>
        </w:tc>
      </w:tr>
      <w:tr>
        <w:trPr>
          <w:trHeight w:val="177"/>
        </w:trPr>
        <w:tc>
          <w:tcPr>
            <w:tcW w:w="6340" w:type="dxa"/>
            <w:vAlign w:val="bottom"/>
          </w:tcPr>
          <w:p>
            <w:pPr>
              <w:ind w:left="20"/>
              <w:spacing w:after="0"/>
              <w:rPr>
                <w:sz w:val="20"/>
                <w:szCs w:val="20"/>
                <w:color w:val="auto"/>
              </w:rPr>
            </w:pPr>
            <w:r>
              <w:rPr>
                <w:rFonts w:ascii="Arial" w:cs="Arial" w:eastAsia="Arial" w:hAnsi="Arial"/>
                <w:sz w:val="14"/>
                <w:szCs w:val="14"/>
                <w:color w:val="auto"/>
              </w:rPr>
              <w:t>Total intangible assets</w:t>
            </w:r>
          </w:p>
        </w:tc>
        <w:tc>
          <w:tcPr>
            <w:tcW w:w="140" w:type="dxa"/>
            <w:vAlign w:val="bottom"/>
          </w:tcPr>
          <w:p>
            <w:pPr>
              <w:jc w:val="right"/>
              <w:spacing w:after="0"/>
              <w:rPr>
                <w:sz w:val="20"/>
                <w:szCs w:val="20"/>
                <w:color w:val="auto"/>
              </w:rPr>
            </w:pPr>
            <w:r>
              <w:rPr>
                <w:rFonts w:ascii="Arial" w:cs="Arial" w:eastAsia="Arial" w:hAnsi="Arial"/>
                <w:sz w:val="14"/>
                <w:szCs w:val="14"/>
                <w:color w:val="auto"/>
              </w:rPr>
              <w:t>$</w:t>
            </w:r>
          </w:p>
        </w:tc>
        <w:tc>
          <w:tcPr>
            <w:tcW w:w="1160" w:type="dxa"/>
            <w:vAlign w:val="bottom"/>
          </w:tcPr>
          <w:p>
            <w:pPr>
              <w:jc w:val="right"/>
              <w:spacing w:after="0"/>
              <w:rPr>
                <w:sz w:val="20"/>
                <w:szCs w:val="20"/>
                <w:color w:val="auto"/>
              </w:rPr>
            </w:pPr>
            <w:r>
              <w:rPr>
                <w:rFonts w:ascii="Arial" w:cs="Arial" w:eastAsia="Arial" w:hAnsi="Arial"/>
                <w:sz w:val="14"/>
                <w:szCs w:val="14"/>
                <w:color w:val="auto"/>
              </w:rPr>
              <w:t>1,633</w:t>
            </w:r>
          </w:p>
        </w:tc>
        <w:tc>
          <w:tcPr>
            <w:tcW w:w="2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1260" w:type="dxa"/>
            <w:vAlign w:val="bottom"/>
          </w:tcPr>
          <w:p>
            <w:pPr>
              <w:jc w:val="right"/>
              <w:spacing w:after="0"/>
              <w:rPr>
                <w:sz w:val="20"/>
                <w:szCs w:val="20"/>
                <w:color w:val="auto"/>
              </w:rPr>
            </w:pPr>
            <w:r>
              <w:rPr>
                <w:rFonts w:ascii="Arial" w:cs="Arial" w:eastAsia="Arial" w:hAnsi="Arial"/>
                <w:sz w:val="14"/>
                <w:szCs w:val="14"/>
                <w:color w:val="auto"/>
              </w:rPr>
              <w:t>(1,226)</w:t>
            </w:r>
          </w:p>
        </w:tc>
        <w:tc>
          <w:tcPr>
            <w:tcW w:w="400" w:type="dxa"/>
            <w:vAlign w:val="bottom"/>
            <w:gridSpan w:val="2"/>
          </w:tcPr>
          <w:p>
            <w:pPr>
              <w:jc w:val="right"/>
              <w:ind w:right="240"/>
              <w:spacing w:after="0"/>
              <w:rPr>
                <w:sz w:val="20"/>
                <w:szCs w:val="20"/>
                <w:color w:val="auto"/>
              </w:rPr>
            </w:pPr>
            <w:r>
              <w:rPr>
                <w:rFonts w:ascii="Arial" w:cs="Arial" w:eastAsia="Arial" w:hAnsi="Arial"/>
                <w:sz w:val="14"/>
                <w:szCs w:val="14"/>
                <w:color w:val="auto"/>
              </w:rPr>
              <w:t>$</w:t>
            </w:r>
          </w:p>
        </w:tc>
        <w:tc>
          <w:tcPr>
            <w:tcW w:w="1040" w:type="dxa"/>
            <w:vAlign w:val="bottom"/>
          </w:tcPr>
          <w:p>
            <w:pPr>
              <w:jc w:val="right"/>
              <w:spacing w:after="0"/>
              <w:rPr>
                <w:sz w:val="20"/>
                <w:szCs w:val="20"/>
                <w:color w:val="auto"/>
              </w:rPr>
            </w:pPr>
            <w:r>
              <w:rPr>
                <w:rFonts w:ascii="Arial" w:cs="Arial" w:eastAsia="Arial" w:hAnsi="Arial"/>
                <w:sz w:val="14"/>
                <w:szCs w:val="14"/>
                <w:color w:val="auto"/>
              </w:rPr>
              <w:t>407</w:t>
            </w:r>
          </w:p>
        </w:tc>
        <w:tc>
          <w:tcPr>
            <w:tcW w:w="0" w:type="dxa"/>
            <w:vAlign w:val="bottom"/>
          </w:tcPr>
          <w:p>
            <w:pPr>
              <w:spacing w:after="0"/>
              <w:rPr>
                <w:sz w:val="1"/>
                <w:szCs w:val="1"/>
                <w:color w:val="auto"/>
              </w:rPr>
            </w:pPr>
          </w:p>
        </w:tc>
      </w:tr>
      <w:tr>
        <w:trPr>
          <w:trHeight w:val="20"/>
        </w:trPr>
        <w:tc>
          <w:tcPr>
            <w:tcW w:w="634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63"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w:t>
      </w:r>
    </w:p>
    <w:p>
      <w:pPr>
        <w:spacing w:after="0" w:line="12" w:lineRule="exact"/>
        <w:rPr>
          <w:sz w:val="20"/>
          <w:szCs w:val="20"/>
          <w:color w:val="auto"/>
        </w:rPr>
      </w:pPr>
    </w:p>
    <w:p>
      <w:pPr>
        <w:spacing w:after="0"/>
        <w:tabs>
          <w:tab w:leader="none" w:pos="340" w:val="left"/>
        </w:tabs>
        <w:rPr>
          <w:sz w:val="20"/>
          <w:szCs w:val="20"/>
          <w:color w:val="auto"/>
        </w:rPr>
      </w:pPr>
      <w:r>
        <w:rPr>
          <w:rFonts w:ascii="Arial" w:cs="Arial" w:eastAsia="Arial" w:hAnsi="Arial"/>
          <w:sz w:val="14"/>
          <w:szCs w:val="14"/>
          <w:color w:val="auto"/>
        </w:rPr>
        <w:t>(1)</w:t>
        <w:tab/>
        <w:t>Includes the effects of foreign currency translation.</w:t>
      </w: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9. Cloud Computing Arrangements</w:t>
      </w:r>
    </w:p>
    <w:p>
      <w:pPr>
        <w:spacing w:after="0" w:line="234" w:lineRule="exact"/>
        <w:rPr>
          <w:sz w:val="20"/>
          <w:szCs w:val="20"/>
          <w:color w:val="auto"/>
        </w:rPr>
      </w:pPr>
    </w:p>
    <w:p>
      <w:pPr>
        <w:ind w:right="160" w:firstLine="351"/>
        <w:spacing w:after="0" w:line="253" w:lineRule="auto"/>
        <w:rPr>
          <w:sz w:val="20"/>
          <w:szCs w:val="20"/>
          <w:color w:val="auto"/>
        </w:rPr>
      </w:pPr>
      <w:r>
        <w:rPr>
          <w:rFonts w:ascii="Arial" w:cs="Arial" w:eastAsia="Arial" w:hAnsi="Arial"/>
          <w:sz w:val="15"/>
          <w:szCs w:val="15"/>
          <w:color w:val="auto"/>
        </w:rPr>
        <w:t>Autodesk enters into certain cloud-based software hosting arrangements that are accounted for as service contracts. Costs incurred for these arrangements are capitalized for application development activities, if material, and immediately expensed for preliminary project activities and post - implementation activities. Autodesk amortizes the capitalized development costs straight-line over the fixed, non-cancellable term of the associated hosting arrangement plus any reasonably certain renewal</w:t>
      </w: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440" w:right="660" w:bottom="1440" w:gutter="0" w:footer="0" w:header="0"/>
        </w:sectPr>
      </w:pPr>
    </w:p>
    <w:bookmarkStart w:id="19" w:name="page20"/>
    <w:bookmarkEnd w:id="19"/>
    <w:p>
      <w:pPr>
        <w:ind w:right="100"/>
        <w:spacing w:after="0" w:line="253" w:lineRule="auto"/>
        <w:rPr>
          <w:sz w:val="20"/>
          <w:szCs w:val="20"/>
          <w:color w:val="auto"/>
        </w:rPr>
      </w:pPr>
      <w:r>
        <w:rPr>
          <w:rFonts w:ascii="Arial" w:cs="Arial" w:eastAsia="Arial" w:hAnsi="Arial"/>
          <w:sz w:val="15"/>
          <w:szCs w:val="15"/>
          <w:color w:val="auto"/>
        </w:rPr>
        <w:t>periods. The capitalized costs are included in “Prepaid expenses and other current assets” and “Long-term other assets” on our Condensed Consolidated Balance Sheets. Capitalized costs were $203 million and $190 million at April 30, 2023, and January 31, 2023, respectively. Accumulated amortization was $50 million and $41 million at April 30, 2023, and January 31, 2023, respectively. Amortization expense for the three months ended April 30, 2023 and 2022 was $9 million and $4 million, respectively.</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10</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Goodwill</w:t>
      </w:r>
    </w:p>
    <w:p>
      <w:pPr>
        <w:spacing w:after="0" w:line="234" w:lineRule="exact"/>
        <w:rPr>
          <w:sz w:val="20"/>
          <w:szCs w:val="20"/>
          <w:color w:val="auto"/>
        </w:rPr>
      </w:pPr>
    </w:p>
    <w:p>
      <w:pPr>
        <w:ind w:right="60" w:firstLine="351"/>
        <w:spacing w:after="0" w:line="271" w:lineRule="auto"/>
        <w:rPr>
          <w:sz w:val="20"/>
          <w:szCs w:val="20"/>
          <w:color w:val="auto"/>
        </w:rPr>
      </w:pPr>
      <w:r>
        <w:rPr>
          <w:rFonts w:ascii="Arial" w:cs="Arial" w:eastAsia="Arial" w:hAnsi="Arial"/>
          <w:sz w:val="15"/>
          <w:szCs w:val="15"/>
          <w:color w:val="auto"/>
        </w:rPr>
        <w:t>Goodwill consists of the excess of the consideration transferred over the fair value of net assets acquired in business combinations. The following table summarizes the changes in the carrying amount of goodwill for the three months ended April 30, 2023, (in millions):</w:t>
      </w:r>
    </w:p>
    <w:p>
      <w:pPr>
        <w:spacing w:after="0" w:line="227"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9240" w:type="dxa"/>
            <w:vAlign w:val="bottom"/>
            <w:shd w:val="clear" w:color="auto" w:fill="CCEEFF"/>
          </w:tcPr>
          <w:p>
            <w:pPr>
              <w:ind w:left="20"/>
              <w:spacing w:after="0"/>
              <w:rPr>
                <w:sz w:val="20"/>
                <w:szCs w:val="20"/>
                <w:color w:val="auto"/>
              </w:rPr>
            </w:pPr>
            <w:r>
              <w:rPr>
                <w:rFonts w:ascii="Arial" w:cs="Arial" w:eastAsia="Arial" w:hAnsi="Arial"/>
                <w:sz w:val="14"/>
                <w:szCs w:val="14"/>
                <w:color w:val="auto"/>
              </w:rPr>
              <w:t>Balance as of January 31, 2023</w:t>
            </w:r>
          </w:p>
        </w:tc>
        <w:tc>
          <w:tcPr>
            <w:tcW w:w="500" w:type="dxa"/>
            <w:vAlign w:val="bottom"/>
            <w:shd w:val="clear" w:color="auto" w:fill="CCEEFF"/>
          </w:tcPr>
          <w:p>
            <w:pPr>
              <w:jc w:val="right"/>
              <w:ind w:right="350"/>
              <w:spacing w:after="0"/>
              <w:rPr>
                <w:sz w:val="20"/>
                <w:szCs w:val="20"/>
                <w:color w:val="auto"/>
              </w:rPr>
            </w:pPr>
            <w:r>
              <w:rPr>
                <w:rFonts w:ascii="Arial" w:cs="Arial" w:eastAsia="Arial" w:hAnsi="Arial"/>
                <w:sz w:val="14"/>
                <w:szCs w:val="14"/>
                <w:color w:val="auto"/>
                <w:w w:val="76"/>
              </w:rPr>
              <w:t>$</w:t>
            </w:r>
          </w:p>
        </w:tc>
        <w:tc>
          <w:tcPr>
            <w:tcW w:w="8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3,774</w:t>
            </w:r>
          </w:p>
        </w:tc>
      </w:tr>
      <w:tr>
        <w:trPr>
          <w:trHeight w:val="185"/>
        </w:trPr>
        <w:tc>
          <w:tcPr>
            <w:tcW w:w="9240" w:type="dxa"/>
            <w:vAlign w:val="bottom"/>
            <w:tcBorders>
              <w:bottom w:val="single" w:sz="8" w:color="CCEEFF"/>
            </w:tcBorders>
          </w:tcPr>
          <w:p>
            <w:pPr>
              <w:ind w:left="160"/>
              <w:spacing w:after="0"/>
              <w:rPr>
                <w:sz w:val="20"/>
                <w:szCs w:val="20"/>
                <w:color w:val="auto"/>
              </w:rPr>
            </w:pPr>
            <w:r>
              <w:rPr>
                <w:rFonts w:ascii="Arial" w:cs="Arial" w:eastAsia="Arial" w:hAnsi="Arial"/>
                <w:sz w:val="14"/>
                <w:szCs w:val="14"/>
                <w:color w:val="auto"/>
              </w:rPr>
              <w:t>Less: accumulated impairment losses as of January 31, 2023</w:t>
            </w:r>
          </w:p>
        </w:tc>
        <w:tc>
          <w:tcPr>
            <w:tcW w:w="500" w:type="dxa"/>
            <w:vAlign w:val="bottom"/>
            <w:tcBorders>
              <w:bottom w:val="single" w:sz="8" w:color="auto"/>
            </w:tcBorders>
          </w:tcPr>
          <w:p>
            <w:pPr>
              <w:spacing w:after="0"/>
              <w:rPr>
                <w:sz w:val="16"/>
                <w:szCs w:val="16"/>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(149)</w:t>
            </w:r>
          </w:p>
        </w:tc>
      </w:tr>
      <w:tr>
        <w:trPr>
          <w:trHeight w:val="182"/>
        </w:trPr>
        <w:tc>
          <w:tcPr>
            <w:tcW w:w="9240" w:type="dxa"/>
            <w:vAlign w:val="bottom"/>
            <w:shd w:val="clear" w:color="auto" w:fill="CCEEFF"/>
          </w:tcPr>
          <w:p>
            <w:pPr>
              <w:ind w:left="220"/>
              <w:spacing w:after="0"/>
              <w:rPr>
                <w:sz w:val="20"/>
                <w:szCs w:val="20"/>
                <w:color w:val="auto"/>
              </w:rPr>
            </w:pPr>
            <w:r>
              <w:rPr>
                <w:rFonts w:ascii="Arial" w:cs="Arial" w:eastAsia="Arial" w:hAnsi="Arial"/>
                <w:sz w:val="14"/>
                <w:szCs w:val="14"/>
                <w:color w:val="auto"/>
              </w:rPr>
              <w:t>Net balance as of January 31, 2023</w:t>
            </w:r>
          </w:p>
        </w:tc>
        <w:tc>
          <w:tcPr>
            <w:tcW w:w="500" w:type="dxa"/>
            <w:vAlign w:val="bottom"/>
            <w:shd w:val="clear" w:color="auto" w:fill="CCEEFF"/>
          </w:tcPr>
          <w:p>
            <w:pPr>
              <w:spacing w:after="0"/>
              <w:rPr>
                <w:sz w:val="15"/>
                <w:szCs w:val="15"/>
                <w:color w:val="auto"/>
              </w:rPr>
            </w:pPr>
          </w:p>
        </w:tc>
        <w:tc>
          <w:tcPr>
            <w:tcW w:w="8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3,625</w:t>
            </w:r>
          </w:p>
        </w:tc>
      </w:tr>
      <w:tr>
        <w:trPr>
          <w:trHeight w:val="185"/>
        </w:trPr>
        <w:tc>
          <w:tcPr>
            <w:tcW w:w="9240" w:type="dxa"/>
            <w:vAlign w:val="bottom"/>
          </w:tcPr>
          <w:p>
            <w:pPr>
              <w:ind w:left="20"/>
              <w:spacing w:after="0"/>
              <w:rPr>
                <w:sz w:val="20"/>
                <w:szCs w:val="20"/>
                <w:color w:val="auto"/>
              </w:rPr>
            </w:pPr>
            <w:r>
              <w:rPr>
                <w:rFonts w:ascii="Arial" w:cs="Arial" w:eastAsia="Arial" w:hAnsi="Arial"/>
                <w:sz w:val="14"/>
                <w:szCs w:val="14"/>
                <w:color w:val="auto"/>
              </w:rPr>
              <w:t>Additions arising from acquisitions during the period</w:t>
            </w:r>
          </w:p>
        </w:tc>
        <w:tc>
          <w:tcPr>
            <w:tcW w:w="500" w:type="dxa"/>
            <w:vAlign w:val="bottom"/>
          </w:tcPr>
          <w:p>
            <w:pPr>
              <w:spacing w:after="0"/>
              <w:rPr>
                <w:sz w:val="16"/>
                <w:szCs w:val="16"/>
                <w:color w:val="auto"/>
              </w:rPr>
            </w:pPr>
          </w:p>
        </w:tc>
        <w:tc>
          <w:tcPr>
            <w:tcW w:w="800" w:type="dxa"/>
            <w:vAlign w:val="bottom"/>
          </w:tcPr>
          <w:p>
            <w:pPr>
              <w:jc w:val="right"/>
              <w:spacing w:after="0"/>
              <w:rPr>
                <w:sz w:val="20"/>
                <w:szCs w:val="20"/>
                <w:color w:val="auto"/>
              </w:rPr>
            </w:pPr>
            <w:r>
              <w:rPr>
                <w:rFonts w:ascii="Arial" w:cs="Arial" w:eastAsia="Arial" w:hAnsi="Arial"/>
                <w:sz w:val="14"/>
                <w:szCs w:val="14"/>
                <w:color w:val="auto"/>
              </w:rPr>
              <w:t>3</w:t>
            </w:r>
          </w:p>
        </w:tc>
      </w:tr>
      <w:tr>
        <w:trPr>
          <w:trHeight w:val="190"/>
        </w:trPr>
        <w:tc>
          <w:tcPr>
            <w:tcW w:w="9240" w:type="dxa"/>
            <w:vAlign w:val="bottom"/>
            <w:shd w:val="clear" w:color="auto" w:fill="CCEEFF"/>
          </w:tcPr>
          <w:p>
            <w:pPr>
              <w:ind w:left="20"/>
              <w:spacing w:after="0"/>
              <w:rPr>
                <w:sz w:val="20"/>
                <w:szCs w:val="20"/>
                <w:color w:val="auto"/>
              </w:rPr>
            </w:pPr>
            <w:r>
              <w:rPr>
                <w:rFonts w:ascii="Arial" w:cs="Arial" w:eastAsia="Arial" w:hAnsi="Arial"/>
                <w:sz w:val="14"/>
                <w:szCs w:val="14"/>
                <w:color w:val="auto"/>
              </w:rPr>
              <w:t>Effect of foreign currency translation</w:t>
            </w:r>
          </w:p>
        </w:tc>
        <w:tc>
          <w:tcPr>
            <w:tcW w:w="500" w:type="dxa"/>
            <w:vAlign w:val="bottom"/>
            <w:tcBorders>
              <w:bottom w:val="single" w:sz="8" w:color="auto"/>
            </w:tcBorders>
            <w:shd w:val="clear" w:color="auto" w:fill="CCEEFF"/>
          </w:tcPr>
          <w:p>
            <w:pPr>
              <w:spacing w:after="0"/>
              <w:rPr>
                <w:sz w:val="16"/>
                <w:szCs w:val="16"/>
                <w:color w:val="auto"/>
              </w:rPr>
            </w:pPr>
          </w:p>
        </w:tc>
        <w:tc>
          <w:tcPr>
            <w:tcW w:w="8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w:t>
            </w:r>
          </w:p>
        </w:tc>
      </w:tr>
      <w:tr>
        <w:trPr>
          <w:trHeight w:val="177"/>
        </w:trPr>
        <w:tc>
          <w:tcPr>
            <w:tcW w:w="9240" w:type="dxa"/>
            <w:vAlign w:val="bottom"/>
          </w:tcPr>
          <w:p>
            <w:pPr>
              <w:ind w:left="20"/>
              <w:spacing w:after="0"/>
              <w:rPr>
                <w:sz w:val="20"/>
                <w:szCs w:val="20"/>
                <w:color w:val="auto"/>
              </w:rPr>
            </w:pPr>
            <w:r>
              <w:rPr>
                <w:rFonts w:ascii="Arial" w:cs="Arial" w:eastAsia="Arial" w:hAnsi="Arial"/>
                <w:sz w:val="14"/>
                <w:szCs w:val="14"/>
                <w:color w:val="auto"/>
              </w:rPr>
              <w:t>Balance as of April 30, 2023</w:t>
            </w:r>
          </w:p>
        </w:tc>
        <w:tc>
          <w:tcPr>
            <w:tcW w:w="500" w:type="dxa"/>
            <w:vAlign w:val="bottom"/>
            <w:tcBorders>
              <w:bottom w:val="single" w:sz="8" w:color="auto"/>
            </w:tcBorders>
          </w:tcPr>
          <w:p>
            <w:pPr>
              <w:jc w:val="right"/>
              <w:ind w:right="350"/>
              <w:spacing w:after="0"/>
              <w:rPr>
                <w:sz w:val="20"/>
                <w:szCs w:val="20"/>
                <w:color w:val="auto"/>
              </w:rPr>
            </w:pPr>
            <w:r>
              <w:rPr>
                <w:rFonts w:ascii="Arial" w:cs="Arial" w:eastAsia="Arial" w:hAnsi="Arial"/>
                <w:sz w:val="14"/>
                <w:szCs w:val="14"/>
                <w:color w:val="auto"/>
                <w:w w:val="76"/>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3,624</w:t>
            </w:r>
          </w:p>
        </w:tc>
      </w:tr>
      <w:tr>
        <w:trPr>
          <w:trHeight w:val="20"/>
        </w:trPr>
        <w:tc>
          <w:tcPr>
            <w:tcW w:w="9240" w:type="dxa"/>
            <w:vAlign w:val="bottom"/>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r>
    </w:tbl>
    <w:p>
      <w:pPr>
        <w:spacing w:after="0" w:line="231"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11. Deferred Compensation</w:t>
      </w:r>
    </w:p>
    <w:p>
      <w:pPr>
        <w:spacing w:after="0" w:line="234" w:lineRule="exact"/>
        <w:rPr>
          <w:sz w:val="20"/>
          <w:szCs w:val="20"/>
          <w:color w:val="auto"/>
        </w:rPr>
      </w:pPr>
    </w:p>
    <w:p>
      <w:pPr>
        <w:ind w:firstLine="387"/>
        <w:spacing w:after="0" w:line="249" w:lineRule="auto"/>
        <w:rPr>
          <w:sz w:val="20"/>
          <w:szCs w:val="20"/>
          <w:color w:val="auto"/>
        </w:rPr>
      </w:pPr>
      <w:r>
        <w:rPr>
          <w:rFonts w:ascii="Arial" w:cs="Arial" w:eastAsia="Arial" w:hAnsi="Arial"/>
          <w:sz w:val="15"/>
          <w:szCs w:val="15"/>
          <w:color w:val="auto"/>
        </w:rPr>
        <w:t>At April 30, 2023, Autodesk had investments in debt and equity securities that are held in a rabbi trust under non-qualified deferred compensation plans and a corresponding deferred compensation liability totaling $90 million. Of this amount, $ 7 million was classified as current and $83 million was classified as non- current in the Condensed Consolidated Balance Sheets. Of the $86 million related to the investments in a rabbi trust as of January 31, 2023, $7 million was classified as current and $79 million was classified as non-current. The current and non -current asset portions of the investments in debt and equity securities that are held in a rabbi trust under non- qualified deferred compensation plans are recorded in the Condensed Consolidated Balance Sheets under “Prepaid expenses and other current assets” and “Long-term other assets,” respectively. The current and non- current portions of the liability are recorded in the Condensed Consolidated Balance Sheets under “Accrued compensation” and “Long-term other liabilities,” respectively.</w:t>
      </w:r>
    </w:p>
    <w:p>
      <w:pPr>
        <w:spacing w:after="0" w:line="194"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Costs to obtain a contract with a customer</w:t>
      </w:r>
    </w:p>
    <w:p>
      <w:pPr>
        <w:spacing w:after="0" w:line="232" w:lineRule="exact"/>
        <w:rPr>
          <w:sz w:val="20"/>
          <w:szCs w:val="20"/>
          <w:color w:val="auto"/>
        </w:rPr>
      </w:pPr>
    </w:p>
    <w:p>
      <w:pPr>
        <w:ind w:firstLine="351"/>
        <w:spacing w:after="0" w:line="248" w:lineRule="auto"/>
        <w:rPr>
          <w:sz w:val="20"/>
          <w:szCs w:val="20"/>
          <w:color w:val="auto"/>
        </w:rPr>
      </w:pPr>
      <w:r>
        <w:rPr>
          <w:rFonts w:ascii="Arial" w:cs="Arial" w:eastAsia="Arial" w:hAnsi="Arial"/>
          <w:sz w:val="15"/>
          <w:szCs w:val="15"/>
          <w:color w:val="auto"/>
        </w:rPr>
        <w:t>Sales commissions earned by our internal sales personnel and our reseller partners are considered incremental and recoverable costs of obtaining a contract with a customer. The ending balance of assets recognized from costs to obtain a contract with a customer was $128 million as of April 30, 2023, and $133 million as of January 31, 2023. These assets are recorded in “Prepaid expenses and other current assets” and “Long-term other assets” in the Condensed Consolidated Balance Sheets. Amortization expense related to assets recognized from costs to obtain a contract with a customer was</w:t>
      </w:r>
    </w:p>
    <w:p>
      <w:pPr>
        <w:ind w:right="200"/>
        <w:spacing w:after="0" w:line="257" w:lineRule="auto"/>
        <w:rPr>
          <w:sz w:val="20"/>
          <w:szCs w:val="20"/>
          <w:color w:val="auto"/>
        </w:rPr>
      </w:pPr>
      <w:r>
        <w:rPr>
          <w:rFonts w:ascii="Arial" w:cs="Arial" w:eastAsia="Arial" w:hAnsi="Arial"/>
          <w:sz w:val="15"/>
          <w:szCs w:val="15"/>
          <w:color w:val="auto"/>
        </w:rPr>
        <w:t>$30 million and $34 million during the three months ended April 30, 2023 and 2022, respectively. Autodesk did not recognize any contract cost impairment losses during the three months ended April 30, 2023 and 2022.</w:t>
      </w:r>
    </w:p>
    <w:p>
      <w:pPr>
        <w:spacing w:after="0" w:line="187"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12. Computer Equipment, Software, Leasehold Improvements, and Furniture, Net</w:t>
      </w:r>
    </w:p>
    <w:p>
      <w:pPr>
        <w:spacing w:after="0" w:line="234"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Computer equipment, software, leasehold improvements, and furniture and equipment and the related accumulated depreciation were as follows:</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780" w:type="dxa"/>
            <w:vAlign w:val="bottom"/>
            <w:tcBorders>
              <w:bottom w:val="single" w:sz="8" w:color="CCEEFF"/>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jc w:val="right"/>
              <w:ind w:right="150"/>
              <w:spacing w:after="0"/>
              <w:rPr>
                <w:sz w:val="20"/>
                <w:szCs w:val="20"/>
                <w:color w:val="auto"/>
              </w:rPr>
            </w:pPr>
            <w:r>
              <w:rPr>
                <w:rFonts w:ascii="Arial" w:cs="Arial" w:eastAsia="Arial" w:hAnsi="Arial"/>
                <w:sz w:val="13"/>
                <w:szCs w:val="13"/>
                <w:b w:val="1"/>
                <w:bCs w:val="1"/>
                <w:color w:val="auto"/>
              </w:rPr>
              <w:t>April 30, 2023</w:t>
            </w:r>
          </w:p>
        </w:tc>
        <w:tc>
          <w:tcPr>
            <w:tcW w:w="10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40" w:type="dxa"/>
            <w:vAlign w:val="bottom"/>
            <w:tcBorders>
              <w:bottom w:val="single" w:sz="8" w:color="auto"/>
            </w:tcBorders>
          </w:tcPr>
          <w:p>
            <w:pPr>
              <w:jc w:val="right"/>
              <w:ind w:right="90"/>
              <w:spacing w:after="0"/>
              <w:rPr>
                <w:sz w:val="20"/>
                <w:szCs w:val="20"/>
                <w:color w:val="auto"/>
              </w:rPr>
            </w:pPr>
            <w:r>
              <w:rPr>
                <w:rFonts w:ascii="Arial" w:cs="Arial" w:eastAsia="Arial" w:hAnsi="Arial"/>
                <w:sz w:val="13"/>
                <w:szCs w:val="13"/>
                <w:b w:val="1"/>
                <w:bCs w:val="1"/>
                <w:color w:val="auto"/>
              </w:rPr>
              <w:t>January 31, 2023</w:t>
            </w:r>
          </w:p>
        </w:tc>
      </w:tr>
      <w:tr>
        <w:trPr>
          <w:trHeight w:val="179"/>
        </w:trPr>
        <w:tc>
          <w:tcPr>
            <w:tcW w:w="7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Computer hardware, at cost</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127</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126</w:t>
            </w:r>
          </w:p>
        </w:tc>
      </w:tr>
      <w:tr>
        <w:trPr>
          <w:trHeight w:val="185"/>
        </w:trPr>
        <w:tc>
          <w:tcPr>
            <w:tcW w:w="7780" w:type="dxa"/>
            <w:vAlign w:val="bottom"/>
          </w:tcPr>
          <w:p>
            <w:pPr>
              <w:ind w:left="20"/>
              <w:spacing w:after="0"/>
              <w:rPr>
                <w:sz w:val="20"/>
                <w:szCs w:val="20"/>
                <w:color w:val="auto"/>
              </w:rPr>
            </w:pPr>
            <w:r>
              <w:rPr>
                <w:rFonts w:ascii="Arial" w:cs="Arial" w:eastAsia="Arial" w:hAnsi="Arial"/>
                <w:sz w:val="14"/>
                <w:szCs w:val="14"/>
                <w:color w:val="auto"/>
              </w:rPr>
              <w:t>Computer software, at cost</w:t>
            </w:r>
          </w:p>
        </w:tc>
        <w:tc>
          <w:tcPr>
            <w:tcW w:w="160" w:type="dxa"/>
            <w:vAlign w:val="bottom"/>
          </w:tcPr>
          <w:p>
            <w:pPr>
              <w:spacing w:after="0"/>
              <w:rPr>
                <w:sz w:val="16"/>
                <w:szCs w:val="16"/>
                <w:color w:val="auto"/>
              </w:rPr>
            </w:pPr>
          </w:p>
        </w:tc>
        <w:tc>
          <w:tcPr>
            <w:tcW w:w="1120" w:type="dxa"/>
            <w:vAlign w:val="bottom"/>
          </w:tcPr>
          <w:p>
            <w:pPr>
              <w:jc w:val="right"/>
              <w:spacing w:after="0"/>
              <w:rPr>
                <w:sz w:val="20"/>
                <w:szCs w:val="20"/>
                <w:color w:val="auto"/>
              </w:rPr>
            </w:pPr>
            <w:r>
              <w:rPr>
                <w:rFonts w:ascii="Arial" w:cs="Arial" w:eastAsia="Arial" w:hAnsi="Arial"/>
                <w:sz w:val="14"/>
                <w:szCs w:val="14"/>
                <w:color w:val="auto"/>
              </w:rPr>
              <w:t>50</w:t>
            </w: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40" w:type="dxa"/>
            <w:vAlign w:val="bottom"/>
          </w:tcPr>
          <w:p>
            <w:pPr>
              <w:jc w:val="right"/>
              <w:ind w:right="10"/>
              <w:spacing w:after="0"/>
              <w:rPr>
                <w:sz w:val="20"/>
                <w:szCs w:val="20"/>
                <w:color w:val="auto"/>
              </w:rPr>
            </w:pPr>
            <w:r>
              <w:rPr>
                <w:rFonts w:ascii="Arial" w:cs="Arial" w:eastAsia="Arial" w:hAnsi="Arial"/>
                <w:sz w:val="14"/>
                <w:szCs w:val="14"/>
                <w:color w:val="auto"/>
              </w:rPr>
              <w:t>49</w:t>
            </w:r>
          </w:p>
        </w:tc>
      </w:tr>
      <w:tr>
        <w:trPr>
          <w:trHeight w:val="190"/>
        </w:trPr>
        <w:tc>
          <w:tcPr>
            <w:tcW w:w="7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Leasehold improvements, land and buildings, at cost</w:t>
            </w:r>
          </w:p>
        </w:tc>
        <w:tc>
          <w:tcPr>
            <w:tcW w:w="160" w:type="dxa"/>
            <w:vAlign w:val="bottom"/>
            <w:shd w:val="clear" w:color="auto" w:fill="CCEEFF"/>
          </w:tcPr>
          <w:p>
            <w:pPr>
              <w:spacing w:after="0"/>
              <w:rPr>
                <w:sz w:val="16"/>
                <w:szCs w:val="16"/>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365</w:t>
            </w:r>
          </w:p>
        </w:tc>
        <w:tc>
          <w:tcPr>
            <w:tcW w:w="10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12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363</w:t>
            </w:r>
          </w:p>
        </w:tc>
      </w:tr>
      <w:tr>
        <w:trPr>
          <w:trHeight w:val="185"/>
        </w:trPr>
        <w:tc>
          <w:tcPr>
            <w:tcW w:w="778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Furniture and equipment, at cost</w:t>
            </w:r>
          </w:p>
        </w:tc>
        <w:tc>
          <w:tcPr>
            <w:tcW w:w="160" w:type="dxa"/>
            <w:vAlign w:val="bottom"/>
            <w:tcBorders>
              <w:bottom w:val="single" w:sz="8" w:color="auto"/>
            </w:tcBorders>
          </w:tcPr>
          <w:p>
            <w:pPr>
              <w:spacing w:after="0"/>
              <w:rPr>
                <w:sz w:val="16"/>
                <w:szCs w:val="16"/>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96</w:t>
            </w:r>
          </w:p>
        </w:tc>
        <w:tc>
          <w:tcPr>
            <w:tcW w:w="10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94</w:t>
            </w:r>
          </w:p>
        </w:tc>
      </w:tr>
      <w:tr>
        <w:trPr>
          <w:trHeight w:val="182"/>
        </w:trPr>
        <w:tc>
          <w:tcPr>
            <w:tcW w:w="7780" w:type="dxa"/>
            <w:vAlign w:val="bottom"/>
            <w:shd w:val="clear" w:color="auto" w:fill="CCEEFF"/>
          </w:tcPr>
          <w:p>
            <w:pPr>
              <w:spacing w:after="0"/>
              <w:rPr>
                <w:sz w:val="15"/>
                <w:szCs w:val="15"/>
                <w:color w:val="auto"/>
              </w:rPr>
            </w:pPr>
          </w:p>
        </w:tc>
        <w:tc>
          <w:tcPr>
            <w:tcW w:w="160" w:type="dxa"/>
            <w:vAlign w:val="bottom"/>
            <w:shd w:val="clear" w:color="auto" w:fill="CCEEFF"/>
          </w:tcPr>
          <w:p>
            <w:pPr>
              <w:spacing w:after="0"/>
              <w:rPr>
                <w:sz w:val="15"/>
                <w:szCs w:val="15"/>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638</w:t>
            </w:r>
          </w:p>
        </w:tc>
        <w:tc>
          <w:tcPr>
            <w:tcW w:w="100" w:type="dxa"/>
            <w:vAlign w:val="bottom"/>
            <w:shd w:val="clear" w:color="auto" w:fill="CCEEFF"/>
          </w:tcPr>
          <w:p>
            <w:pPr>
              <w:spacing w:after="0"/>
              <w:rPr>
                <w:sz w:val="15"/>
                <w:szCs w:val="15"/>
                <w:color w:val="auto"/>
              </w:rPr>
            </w:pPr>
          </w:p>
        </w:tc>
        <w:tc>
          <w:tcPr>
            <w:tcW w:w="140" w:type="dxa"/>
            <w:vAlign w:val="bottom"/>
            <w:shd w:val="clear" w:color="auto" w:fill="CCEEFF"/>
          </w:tcPr>
          <w:p>
            <w:pPr>
              <w:spacing w:after="0"/>
              <w:rPr>
                <w:sz w:val="15"/>
                <w:szCs w:val="15"/>
                <w:color w:val="auto"/>
              </w:rPr>
            </w:pPr>
          </w:p>
        </w:tc>
        <w:tc>
          <w:tcPr>
            <w:tcW w:w="12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632</w:t>
            </w:r>
          </w:p>
        </w:tc>
      </w:tr>
      <w:tr>
        <w:trPr>
          <w:trHeight w:val="185"/>
        </w:trPr>
        <w:tc>
          <w:tcPr>
            <w:tcW w:w="778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Less: Accumulated depreciation</w:t>
            </w:r>
          </w:p>
        </w:tc>
        <w:tc>
          <w:tcPr>
            <w:tcW w:w="160" w:type="dxa"/>
            <w:vAlign w:val="bottom"/>
            <w:tcBorders>
              <w:bottom w:val="single" w:sz="8" w:color="auto"/>
            </w:tcBorders>
          </w:tcPr>
          <w:p>
            <w:pPr>
              <w:spacing w:after="0"/>
              <w:rPr>
                <w:sz w:val="16"/>
                <w:szCs w:val="16"/>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(498)</w:t>
            </w:r>
          </w:p>
        </w:tc>
        <w:tc>
          <w:tcPr>
            <w:tcW w:w="10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(488)</w:t>
            </w:r>
          </w:p>
        </w:tc>
      </w:tr>
      <w:tr>
        <w:trPr>
          <w:trHeight w:val="202"/>
        </w:trPr>
        <w:tc>
          <w:tcPr>
            <w:tcW w:w="778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Computer hardware, software, leasehold improvements, and furniture and equipment, net</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140</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144</w:t>
            </w:r>
          </w:p>
        </w:tc>
      </w:tr>
      <w:tr>
        <w:trPr>
          <w:trHeight w:val="20"/>
        </w:trPr>
        <w:tc>
          <w:tcPr>
            <w:tcW w:w="7780" w:type="dxa"/>
            <w:vAlign w:val="bottom"/>
            <w:tcBorders>
              <w:top w:val="single" w:sz="8" w:color="CCEEFF"/>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0" w:right="680" w:bottom="1440" w:gutter="0" w:footer="0" w:header="0"/>
        </w:sectPr>
      </w:pPr>
    </w:p>
    <w:bookmarkStart w:id="20" w:name="page21"/>
    <w:bookmarkEnd w:id="20"/>
    <w:p>
      <w:pPr>
        <w:spacing w:after="0"/>
        <w:rPr>
          <w:sz w:val="20"/>
          <w:szCs w:val="20"/>
          <w:color w:val="auto"/>
        </w:rPr>
      </w:pPr>
      <w:r>
        <w:rPr>
          <w:rFonts w:ascii="Arial" w:cs="Arial" w:eastAsia="Arial" w:hAnsi="Arial"/>
          <w:sz w:val="15"/>
          <w:szCs w:val="15"/>
          <w:b w:val="1"/>
          <w:bCs w:val="1"/>
          <w:i w:val="1"/>
          <w:iCs w:val="1"/>
          <w:color w:val="auto"/>
        </w:rPr>
        <w:t>13. Borrowing Arrangements</w:t>
      </w:r>
    </w:p>
    <w:p>
      <w:pPr>
        <w:spacing w:after="0" w:line="234" w:lineRule="exact"/>
        <w:rPr>
          <w:sz w:val="20"/>
          <w:szCs w:val="20"/>
          <w:color w:val="auto"/>
        </w:rPr>
      </w:pPr>
    </w:p>
    <w:p>
      <w:pPr>
        <w:ind w:right="20" w:firstLine="351"/>
        <w:spacing w:after="0" w:line="245" w:lineRule="auto"/>
        <w:rPr>
          <w:sz w:val="20"/>
          <w:szCs w:val="20"/>
          <w:color w:val="auto"/>
        </w:rPr>
      </w:pPr>
      <w:r>
        <w:rPr>
          <w:rFonts w:ascii="Arial" w:cs="Arial" w:eastAsia="Arial" w:hAnsi="Arial"/>
          <w:sz w:val="15"/>
          <w:szCs w:val="15"/>
          <w:color w:val="auto"/>
        </w:rPr>
        <w:t>In November 2022, the Company entered into an Amended and Restated Credit Agreement (the “Credit Agreement”) by and among the Company, the lenders party thereto and Citibank, N.A. (“Citibank”), as administrative agent, which provides for an unsecured revolving loan facility in the aggregate principal amount of $1.5 billion, with an option to be increased up to $2.0 billion. The revolving credit facility is available for working capital or other business needs. The Credit Agreement contains customary covenants that could, among other things, restrict the imposition of liens on Autodesk’s assets, and restrict Autodesk’s ability to incur additional indebtedness or make dispositions of assets if Autodesk fails to maintain compliance with the financial covenants. The Credit Agreement requires the Company to maintain a maximum leverage ratio of Consolidated Covenant Debt to Consolidated EBITDA (each as defined in the Credit Agreement) no greater than 3.50:1.00 during the term of the credit facility, subject to adjustment following the consummation of certain acquisitions up to 4.00:1.00 for up to four consecutive fiscal quarters. At April 30, 2023, Autodesk was in compliance with the Credit Agreement covenants. Revolving loans under the Credit Agreement will bear interest, at the Company’s option, at either (i) a per annum rate equal to the Base Rate (as defined in the Credit Agreement) plus a margin of between 0.000% and 0.375%, depending on the Company’s Public Debt Rating (as defined in the Credit Agreement), or (ii) a per annum rate equal to the rate at which dollar deposits are offered in the Secured Overnight Financing Rate, plus a margin of between 0.785% and</w:t>
      </w:r>
    </w:p>
    <w:p>
      <w:pPr>
        <w:spacing w:after="0" w:line="6" w:lineRule="exact"/>
        <w:rPr>
          <w:sz w:val="20"/>
          <w:szCs w:val="20"/>
          <w:color w:val="auto"/>
        </w:rPr>
      </w:pPr>
    </w:p>
    <w:p>
      <w:pPr>
        <w:ind w:right="100"/>
        <w:spacing w:after="0" w:line="247" w:lineRule="auto"/>
        <w:rPr>
          <w:sz w:val="20"/>
          <w:szCs w:val="20"/>
          <w:color w:val="auto"/>
        </w:rPr>
      </w:pPr>
      <w:r>
        <w:rPr>
          <w:rFonts w:ascii="Arial" w:cs="Arial" w:eastAsia="Arial" w:hAnsi="Arial"/>
          <w:sz w:val="15"/>
          <w:szCs w:val="15"/>
          <w:color w:val="auto"/>
        </w:rPr>
        <w:t>1.375%, depending on Company’s Public Debt Rating. The interest rates for the revolving credit facility are subject to upward or downward adjustments, on an annual basis, if the Company achieves, or fails to achieve, certain sustainability -linked targets based on two key performance indicator metrics: (i) the amount of scope 1 and 2 greenhouse gas emissions from the global operations of the Company and its subsidiaries during a fiscal year less qualified emissions reduction instruments and (ii) the percentage of employees of the Company and its subsidiaries identifying as female working in technical roles. The maturity date on the Credit Agreement is September 30, 2026. At April 30, 2023, Autodesk had no outstanding borrowings under the Credit Agreement.</w:t>
      </w:r>
    </w:p>
    <w:p>
      <w:pPr>
        <w:spacing w:after="0" w:line="204" w:lineRule="exact"/>
        <w:rPr>
          <w:sz w:val="20"/>
          <w:szCs w:val="20"/>
          <w:color w:val="auto"/>
        </w:rPr>
      </w:pPr>
    </w:p>
    <w:p>
      <w:pPr>
        <w:ind w:left="360"/>
        <w:spacing w:after="0"/>
        <w:rPr>
          <w:sz w:val="20"/>
          <w:szCs w:val="20"/>
          <w:color w:val="auto"/>
        </w:rPr>
      </w:pPr>
      <w:r>
        <w:rPr>
          <w:rFonts w:ascii="Arial" w:cs="Arial" w:eastAsia="Arial" w:hAnsi="Arial"/>
          <w:sz w:val="15"/>
          <w:szCs w:val="15"/>
          <w:color w:val="auto"/>
        </w:rPr>
        <w:t>In October 2021, Autodesk issued $1.0 billion aggregate principal amount of 2.4% notes due December 15, 2031 (“2021 Notes”). Net of a discount of</w:t>
      </w:r>
    </w:p>
    <w:p>
      <w:pPr>
        <w:spacing w:after="0" w:line="13" w:lineRule="exact"/>
        <w:rPr>
          <w:sz w:val="20"/>
          <w:szCs w:val="20"/>
          <w:color w:val="auto"/>
        </w:rPr>
      </w:pPr>
    </w:p>
    <w:p>
      <w:pPr>
        <w:spacing w:after="0"/>
        <w:rPr>
          <w:sz w:val="20"/>
          <w:szCs w:val="20"/>
          <w:color w:val="auto"/>
        </w:rPr>
      </w:pPr>
      <w:r>
        <w:rPr>
          <w:rFonts w:ascii="Arial" w:cs="Arial" w:eastAsia="Arial" w:hAnsi="Arial"/>
          <w:sz w:val="15"/>
          <w:szCs w:val="15"/>
          <w:color w:val="auto"/>
        </w:rPr>
        <w:t>$3 million and issuance costs of $9 million, Autodesk received net proceeds of $988 million from issuance of the 2021 Notes. Both the discount and issuance</w:t>
      </w:r>
    </w:p>
    <w:p>
      <w:pPr>
        <w:spacing w:after="0" w:line="3" w:lineRule="exact"/>
        <w:rPr>
          <w:sz w:val="20"/>
          <w:szCs w:val="20"/>
          <w:color w:val="auto"/>
        </w:rPr>
      </w:pPr>
    </w:p>
    <w:p>
      <w:pPr>
        <w:spacing w:after="0"/>
        <w:rPr>
          <w:sz w:val="20"/>
          <w:szCs w:val="20"/>
          <w:color w:val="auto"/>
        </w:rPr>
      </w:pPr>
      <w:r>
        <w:rPr>
          <w:rFonts w:ascii="Arial" w:cs="Arial" w:eastAsia="Arial" w:hAnsi="Arial"/>
          <w:sz w:val="15"/>
          <w:szCs w:val="15"/>
          <w:color w:val="auto"/>
        </w:rPr>
        <w:t>costs are being amortized to interest expense over the term of the 2021 Notes using the effective interest method. The 2021 Notes were designated as</w:t>
      </w:r>
    </w:p>
    <w:p>
      <w:pPr>
        <w:spacing w:after="0" w:line="3" w:lineRule="exact"/>
        <w:rPr>
          <w:sz w:val="20"/>
          <w:szCs w:val="20"/>
          <w:color w:val="auto"/>
        </w:rPr>
      </w:pPr>
    </w:p>
    <w:p>
      <w:pPr>
        <w:spacing w:after="0"/>
        <w:rPr>
          <w:sz w:val="20"/>
          <w:szCs w:val="20"/>
          <w:color w:val="auto"/>
        </w:rPr>
      </w:pPr>
      <w:r>
        <w:rPr>
          <w:rFonts w:ascii="Arial" w:cs="Arial" w:eastAsia="Arial" w:hAnsi="Arial"/>
          <w:sz w:val="15"/>
          <w:szCs w:val="15"/>
          <w:color w:val="auto"/>
        </w:rPr>
        <w:t>sustainability bonds, the net proceeds of which are used to fund environmentally and socially responsible projects in the following areas: eco-efficient</w:t>
      </w:r>
    </w:p>
    <w:p>
      <w:pPr>
        <w:spacing w:after="0" w:line="3" w:lineRule="exact"/>
        <w:rPr>
          <w:sz w:val="20"/>
          <w:szCs w:val="20"/>
          <w:color w:val="auto"/>
        </w:rPr>
      </w:pPr>
    </w:p>
    <w:p>
      <w:pPr>
        <w:spacing w:after="0"/>
        <w:rPr>
          <w:sz w:val="20"/>
          <w:szCs w:val="20"/>
          <w:color w:val="auto"/>
        </w:rPr>
      </w:pPr>
      <w:r>
        <w:rPr>
          <w:rFonts w:ascii="Arial" w:cs="Arial" w:eastAsia="Arial" w:hAnsi="Arial"/>
          <w:sz w:val="15"/>
          <w:szCs w:val="15"/>
          <w:color w:val="auto"/>
        </w:rPr>
        <w:t>products, production technologies, and processes, sustainable water and wastewater management, renewable energy &amp; energy efficiency, green buildings,</w:t>
      </w:r>
    </w:p>
    <w:p>
      <w:pPr>
        <w:spacing w:after="0" w:line="3" w:lineRule="exact"/>
        <w:rPr>
          <w:sz w:val="20"/>
          <w:szCs w:val="20"/>
          <w:color w:val="auto"/>
        </w:rPr>
      </w:pPr>
    </w:p>
    <w:p>
      <w:pPr>
        <w:spacing w:after="0"/>
        <w:rPr>
          <w:sz w:val="20"/>
          <w:szCs w:val="20"/>
          <w:color w:val="auto"/>
        </w:rPr>
      </w:pPr>
      <w:r>
        <w:rPr>
          <w:rFonts w:ascii="Arial" w:cs="Arial" w:eastAsia="Arial" w:hAnsi="Arial"/>
          <w:sz w:val="15"/>
          <w:szCs w:val="15"/>
          <w:color w:val="auto"/>
        </w:rPr>
        <w:t>pollution prevention and control, and socioeconomic advancement and empowerment.</w:t>
      </w:r>
    </w:p>
    <w:p>
      <w:pPr>
        <w:spacing w:after="0" w:line="216" w:lineRule="exact"/>
        <w:rPr>
          <w:sz w:val="20"/>
          <w:szCs w:val="20"/>
          <w:color w:val="auto"/>
        </w:rPr>
      </w:pPr>
    </w:p>
    <w:p>
      <w:pPr>
        <w:ind w:firstLine="351"/>
        <w:spacing w:after="0" w:line="253" w:lineRule="auto"/>
        <w:rPr>
          <w:sz w:val="20"/>
          <w:szCs w:val="20"/>
          <w:color w:val="auto"/>
        </w:rPr>
      </w:pPr>
      <w:r>
        <w:rPr>
          <w:rFonts w:ascii="Arial" w:cs="Arial" w:eastAsia="Arial" w:hAnsi="Arial"/>
          <w:sz w:val="15"/>
          <w:szCs w:val="15"/>
          <w:color w:val="auto"/>
        </w:rPr>
        <w:t>In January 2020, Autodesk issued $500 million aggregate principal amount of 2.85% notes due January 15, 2030 (“2020 Notes”). Net of a discount of $1 million and issuance costs of $5 million, Autodesk received net proceeds of $494 million from issuance of the 2020 Notes. Both the discount and issuance costs are being amortized to interest expense over the term of the 2020 Notes using the effective interest method. The proceeds of the 2020 Notes were used for the repayment of $450 million of debt due June 15, 2020 , and the remainder is available for general corporate purposes.</w:t>
      </w:r>
    </w:p>
    <w:p>
      <w:pPr>
        <w:spacing w:after="0" w:line="198" w:lineRule="exact"/>
        <w:rPr>
          <w:sz w:val="20"/>
          <w:szCs w:val="20"/>
          <w:color w:val="auto"/>
        </w:rPr>
      </w:pPr>
    </w:p>
    <w:p>
      <w:pPr>
        <w:ind w:right="240" w:firstLine="351"/>
        <w:spacing w:after="0" w:line="253" w:lineRule="auto"/>
        <w:rPr>
          <w:sz w:val="20"/>
          <w:szCs w:val="20"/>
          <w:color w:val="auto"/>
        </w:rPr>
      </w:pPr>
      <w:r>
        <w:rPr>
          <w:rFonts w:ascii="Arial" w:cs="Arial" w:eastAsia="Arial" w:hAnsi="Arial"/>
          <w:sz w:val="15"/>
          <w:szCs w:val="15"/>
          <w:color w:val="auto"/>
        </w:rPr>
        <w:t>In June 2017, Autodesk issued $500 million aggregate principal amount of 3.5% notes due June 15, 2027 (the “2017 Notes”). Net of a discount of $3 million and issuance costs of $5 million, Autodesk received net proceeds of $492 million from issuance of the 2017 Notes. Both the discount and issuance costs are being amortized to interest expense over the term of the 2017 Notes using the effective interest method. The proceeds of the 2017 Notes have been used for the repayment of $400 million of debt due December 15, 2017, and the remainder is available for general corporate purposes.</w:t>
      </w:r>
    </w:p>
    <w:p>
      <w:pPr>
        <w:spacing w:after="0" w:line="198" w:lineRule="exact"/>
        <w:rPr>
          <w:sz w:val="20"/>
          <w:szCs w:val="20"/>
          <w:color w:val="auto"/>
        </w:rPr>
      </w:pPr>
    </w:p>
    <w:p>
      <w:pPr>
        <w:ind w:right="200" w:firstLine="351"/>
        <w:spacing w:after="0" w:line="253" w:lineRule="auto"/>
        <w:rPr>
          <w:sz w:val="20"/>
          <w:szCs w:val="20"/>
          <w:color w:val="auto"/>
        </w:rPr>
      </w:pPr>
      <w:r>
        <w:rPr>
          <w:rFonts w:ascii="Arial" w:cs="Arial" w:eastAsia="Arial" w:hAnsi="Arial"/>
          <w:sz w:val="15"/>
          <w:szCs w:val="15"/>
          <w:color w:val="auto"/>
        </w:rPr>
        <w:t>In June 2015, Autodesk issued $300 million aggregate principal amount of 4.375% notes due June 15, 2025 (“2015 Notes”). Net of a discount of $1 million, and issuance costs of $3 million, Autodesk received net proceeds of $296 million from issuance of the 2015 Notes. Both the discount and issuance costs are being amortized to interest expense over the respective term of the 2015 Notes using the effective interest method. The proceeds of the 2015 Notes are available for general corporate purposes.</w:t>
      </w:r>
    </w:p>
    <w:p>
      <w:pPr>
        <w:spacing w:after="0" w:line="198" w:lineRule="exact"/>
        <w:rPr>
          <w:sz w:val="20"/>
          <w:szCs w:val="20"/>
          <w:color w:val="auto"/>
        </w:rPr>
      </w:pPr>
    </w:p>
    <w:p>
      <w:pPr>
        <w:ind w:firstLine="387"/>
        <w:spacing w:after="0" w:line="251" w:lineRule="auto"/>
        <w:rPr>
          <w:sz w:val="20"/>
          <w:szCs w:val="20"/>
          <w:color w:val="auto"/>
        </w:rPr>
      </w:pPr>
      <w:r>
        <w:rPr>
          <w:rFonts w:ascii="Arial" w:cs="Arial" w:eastAsia="Arial" w:hAnsi="Arial"/>
          <w:sz w:val="15"/>
          <w:szCs w:val="15"/>
          <w:color w:val="auto"/>
        </w:rPr>
        <w:t>The 2021 Notes, 2020 Notes, 2017 Notes, and the 2015 Notes may all be redeemed at any time, subject to a make whole premium. In addition, upon the occurrence of certain change of control triggering events, Autodesk may be required to repurchase all the aforementioned notes, at a price equal to 101% of their principal amount, plus accrued and unpaid interest to the date of repurchase. All notes contain restrictive covenants that limit Autodesk's ability to create certain liens, to enter into certain sale and leaseback transactions and to consolidate or merge with, or convey, transfer, or lease all or substantially all of its assets, subject to important qualifications and exceptions.</w:t>
      </w:r>
    </w:p>
    <w:p>
      <w:pPr>
        <w:spacing w:after="0" w:line="199" w:lineRule="exact"/>
        <w:rPr>
          <w:sz w:val="20"/>
          <w:szCs w:val="20"/>
          <w:color w:val="auto"/>
        </w:rPr>
      </w:pPr>
    </w:p>
    <w:p>
      <w:pPr>
        <w:ind w:left="400"/>
        <w:spacing w:after="0"/>
        <w:rPr>
          <w:sz w:val="20"/>
          <w:szCs w:val="20"/>
          <w:color w:val="auto"/>
        </w:rPr>
      </w:pPr>
      <w:r>
        <w:rPr>
          <w:rFonts w:ascii="Arial" w:cs="Arial" w:eastAsia="Arial" w:hAnsi="Arial"/>
          <w:sz w:val="15"/>
          <w:szCs w:val="15"/>
          <w:color w:val="auto"/>
        </w:rPr>
        <w:t>Based on the quoted market prices, the approximate fair value of the notes as of April 30, 2023, were as follows:</w:t>
      </w:r>
    </w:p>
    <w:p>
      <w:pPr>
        <w:spacing w:after="0" w:line="200" w:lineRule="exact"/>
        <w:rPr>
          <w:sz w:val="20"/>
          <w:szCs w:val="20"/>
          <w:color w:val="auto"/>
        </w:rPr>
      </w:pPr>
    </w:p>
    <w:p>
      <w:pPr>
        <w:spacing w:after="0" w:line="295"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149"/>
        </w:trPr>
        <w:tc>
          <w:tcPr>
            <w:tcW w:w="73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440" w:type="dxa"/>
            <w:vAlign w:val="bottom"/>
          </w:tcPr>
          <w:p>
            <w:pPr>
              <w:jc w:val="right"/>
              <w:ind w:right="112"/>
              <w:spacing w:after="0"/>
              <w:rPr>
                <w:sz w:val="20"/>
                <w:szCs w:val="20"/>
                <w:color w:val="auto"/>
              </w:rPr>
            </w:pPr>
            <w:r>
              <w:rPr>
                <w:rFonts w:ascii="Arial" w:cs="Arial" w:eastAsia="Arial" w:hAnsi="Arial"/>
                <w:sz w:val="13"/>
                <w:szCs w:val="13"/>
                <w:b w:val="1"/>
                <w:bCs w:val="1"/>
                <w:color w:val="auto"/>
              </w:rPr>
              <w:t>Aggregate Principal</w:t>
            </w:r>
          </w:p>
        </w:tc>
        <w:tc>
          <w:tcPr>
            <w:tcW w:w="1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240" w:type="dxa"/>
            <w:vAlign w:val="bottom"/>
            <w:vMerge w:val="restart"/>
          </w:tcPr>
          <w:p>
            <w:pPr>
              <w:jc w:val="right"/>
              <w:ind w:right="391"/>
              <w:spacing w:after="0"/>
              <w:rPr>
                <w:sz w:val="20"/>
                <w:szCs w:val="20"/>
                <w:color w:val="auto"/>
              </w:rPr>
            </w:pPr>
            <w:r>
              <w:rPr>
                <w:rFonts w:ascii="Arial" w:cs="Arial" w:eastAsia="Arial" w:hAnsi="Arial"/>
                <w:sz w:val="13"/>
                <w:szCs w:val="13"/>
                <w:b w:val="1"/>
                <w:bCs w:val="1"/>
                <w:color w:val="auto"/>
              </w:rPr>
              <w:t>Fair value</w:t>
            </w:r>
          </w:p>
        </w:tc>
        <w:tc>
          <w:tcPr>
            <w:tcW w:w="0" w:type="dxa"/>
            <w:vAlign w:val="bottom"/>
          </w:tcPr>
          <w:p>
            <w:pPr>
              <w:spacing w:after="0"/>
              <w:rPr>
                <w:sz w:val="1"/>
                <w:szCs w:val="1"/>
                <w:color w:val="auto"/>
              </w:rPr>
            </w:pPr>
          </w:p>
        </w:tc>
      </w:tr>
      <w:tr>
        <w:trPr>
          <w:trHeight w:val="176"/>
        </w:trPr>
        <w:tc>
          <w:tcPr>
            <w:tcW w:w="738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440" w:type="dxa"/>
            <w:vAlign w:val="bottom"/>
            <w:tcBorders>
              <w:bottom w:val="single" w:sz="8" w:color="auto"/>
            </w:tcBorders>
          </w:tcPr>
          <w:p>
            <w:pPr>
              <w:jc w:val="right"/>
              <w:ind w:right="472"/>
              <w:spacing w:after="0"/>
              <w:rPr>
                <w:sz w:val="20"/>
                <w:szCs w:val="20"/>
                <w:color w:val="auto"/>
              </w:rPr>
            </w:pPr>
            <w:r>
              <w:rPr>
                <w:rFonts w:ascii="Arial" w:cs="Arial" w:eastAsia="Arial" w:hAnsi="Arial"/>
                <w:sz w:val="13"/>
                <w:szCs w:val="13"/>
                <w:b w:val="1"/>
                <w:bCs w:val="1"/>
                <w:color w:val="auto"/>
              </w:rPr>
              <w:t>Amount</w:t>
            </w:r>
          </w:p>
        </w:tc>
        <w:tc>
          <w:tcPr>
            <w:tcW w:w="100" w:type="dxa"/>
            <w:vAlign w:val="bottom"/>
            <w:tcBorders>
              <w:bottom w:val="single" w:sz="8" w:color="CCEEFF"/>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124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738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2015 Notes</w:t>
            </w: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44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300</w:t>
            </w:r>
          </w:p>
        </w:tc>
        <w:tc>
          <w:tcPr>
            <w:tcW w:w="380" w:type="dxa"/>
            <w:vAlign w:val="bottom"/>
            <w:gridSpan w:val="2"/>
            <w:shd w:val="clear" w:color="auto" w:fill="CCEEFF"/>
          </w:tcPr>
          <w:p>
            <w:pPr>
              <w:jc w:val="right"/>
              <w:ind w:right="200"/>
              <w:spacing w:after="0"/>
              <w:rPr>
                <w:sz w:val="20"/>
                <w:szCs w:val="20"/>
                <w:color w:val="auto"/>
              </w:rPr>
            </w:pPr>
            <w:r>
              <w:rPr>
                <w:rFonts w:ascii="Arial" w:cs="Arial" w:eastAsia="Arial" w:hAnsi="Arial"/>
                <w:sz w:val="14"/>
                <w:szCs w:val="14"/>
                <w:color w:val="auto"/>
              </w:rPr>
              <w:t>$</w:t>
            </w:r>
          </w:p>
        </w:tc>
        <w:tc>
          <w:tcPr>
            <w:tcW w:w="12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298</w:t>
            </w:r>
          </w:p>
        </w:tc>
        <w:tc>
          <w:tcPr>
            <w:tcW w:w="0" w:type="dxa"/>
            <w:vAlign w:val="bottom"/>
          </w:tcPr>
          <w:p>
            <w:pPr>
              <w:spacing w:after="0"/>
              <w:rPr>
                <w:sz w:val="1"/>
                <w:szCs w:val="1"/>
                <w:color w:val="auto"/>
              </w:rPr>
            </w:pPr>
          </w:p>
        </w:tc>
      </w:tr>
      <w:tr>
        <w:trPr>
          <w:trHeight w:val="185"/>
        </w:trPr>
        <w:tc>
          <w:tcPr>
            <w:tcW w:w="7380" w:type="dxa"/>
            <w:vAlign w:val="bottom"/>
          </w:tcPr>
          <w:p>
            <w:pPr>
              <w:ind w:left="20"/>
              <w:spacing w:after="0"/>
              <w:rPr>
                <w:sz w:val="20"/>
                <w:szCs w:val="20"/>
                <w:color w:val="auto"/>
              </w:rPr>
            </w:pPr>
            <w:r>
              <w:rPr>
                <w:rFonts w:ascii="Arial" w:cs="Arial" w:eastAsia="Arial" w:hAnsi="Arial"/>
                <w:sz w:val="14"/>
                <w:szCs w:val="14"/>
                <w:color w:val="auto"/>
              </w:rPr>
              <w:t>2017 Notes</w:t>
            </w:r>
          </w:p>
        </w:tc>
        <w:tc>
          <w:tcPr>
            <w:tcW w:w="140" w:type="dxa"/>
            <w:vAlign w:val="bottom"/>
          </w:tcPr>
          <w:p>
            <w:pPr>
              <w:spacing w:after="0"/>
              <w:rPr>
                <w:sz w:val="16"/>
                <w:szCs w:val="16"/>
                <w:color w:val="auto"/>
              </w:rPr>
            </w:pPr>
          </w:p>
        </w:tc>
        <w:tc>
          <w:tcPr>
            <w:tcW w:w="1440" w:type="dxa"/>
            <w:vAlign w:val="bottom"/>
          </w:tcPr>
          <w:p>
            <w:pPr>
              <w:jc w:val="right"/>
              <w:ind w:right="12"/>
              <w:spacing w:after="0"/>
              <w:rPr>
                <w:sz w:val="20"/>
                <w:szCs w:val="20"/>
                <w:color w:val="auto"/>
              </w:rPr>
            </w:pPr>
            <w:r>
              <w:rPr>
                <w:rFonts w:ascii="Arial" w:cs="Arial" w:eastAsia="Arial" w:hAnsi="Arial"/>
                <w:sz w:val="14"/>
                <w:szCs w:val="14"/>
                <w:color w:val="auto"/>
              </w:rPr>
              <w:t>500</w:t>
            </w:r>
          </w:p>
        </w:tc>
        <w:tc>
          <w:tcPr>
            <w:tcW w:w="10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240" w:type="dxa"/>
            <w:vAlign w:val="bottom"/>
          </w:tcPr>
          <w:p>
            <w:pPr>
              <w:jc w:val="right"/>
              <w:spacing w:after="0"/>
              <w:rPr>
                <w:sz w:val="20"/>
                <w:szCs w:val="20"/>
                <w:color w:val="auto"/>
              </w:rPr>
            </w:pPr>
            <w:r>
              <w:rPr>
                <w:rFonts w:ascii="Arial" w:cs="Arial" w:eastAsia="Arial" w:hAnsi="Arial"/>
                <w:sz w:val="14"/>
                <w:szCs w:val="14"/>
                <w:color w:val="auto"/>
              </w:rPr>
              <w:t>485</w:t>
            </w:r>
          </w:p>
        </w:tc>
        <w:tc>
          <w:tcPr>
            <w:tcW w:w="0" w:type="dxa"/>
            <w:vAlign w:val="bottom"/>
          </w:tcPr>
          <w:p>
            <w:pPr>
              <w:spacing w:after="0"/>
              <w:rPr>
                <w:sz w:val="1"/>
                <w:szCs w:val="1"/>
                <w:color w:val="auto"/>
              </w:rPr>
            </w:pPr>
          </w:p>
        </w:tc>
      </w:tr>
      <w:tr>
        <w:trPr>
          <w:trHeight w:val="190"/>
        </w:trPr>
        <w:tc>
          <w:tcPr>
            <w:tcW w:w="738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2020 Notes</w:t>
            </w:r>
          </w:p>
        </w:tc>
        <w:tc>
          <w:tcPr>
            <w:tcW w:w="140" w:type="dxa"/>
            <w:vAlign w:val="bottom"/>
            <w:shd w:val="clear" w:color="auto" w:fill="CCEEFF"/>
          </w:tcPr>
          <w:p>
            <w:pPr>
              <w:spacing w:after="0"/>
              <w:rPr>
                <w:sz w:val="16"/>
                <w:szCs w:val="16"/>
                <w:color w:val="auto"/>
              </w:rPr>
            </w:pPr>
          </w:p>
        </w:tc>
        <w:tc>
          <w:tcPr>
            <w:tcW w:w="144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500</w:t>
            </w:r>
          </w:p>
        </w:tc>
        <w:tc>
          <w:tcPr>
            <w:tcW w:w="10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12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447</w:t>
            </w:r>
          </w:p>
        </w:tc>
        <w:tc>
          <w:tcPr>
            <w:tcW w:w="0" w:type="dxa"/>
            <w:vAlign w:val="bottom"/>
          </w:tcPr>
          <w:p>
            <w:pPr>
              <w:spacing w:after="0"/>
              <w:rPr>
                <w:sz w:val="1"/>
                <w:szCs w:val="1"/>
                <w:color w:val="auto"/>
              </w:rPr>
            </w:pPr>
          </w:p>
        </w:tc>
      </w:tr>
      <w:tr>
        <w:trPr>
          <w:trHeight w:val="183"/>
        </w:trPr>
        <w:tc>
          <w:tcPr>
            <w:tcW w:w="7380" w:type="dxa"/>
            <w:vAlign w:val="bottom"/>
          </w:tcPr>
          <w:p>
            <w:pPr>
              <w:ind w:left="20"/>
              <w:spacing w:after="0"/>
              <w:rPr>
                <w:sz w:val="20"/>
                <w:szCs w:val="20"/>
                <w:color w:val="auto"/>
              </w:rPr>
            </w:pPr>
            <w:r>
              <w:rPr>
                <w:rFonts w:ascii="Arial" w:cs="Arial" w:eastAsia="Arial" w:hAnsi="Arial"/>
                <w:sz w:val="14"/>
                <w:szCs w:val="14"/>
                <w:color w:val="auto"/>
              </w:rPr>
              <w:t>2021 Notes</w:t>
            </w:r>
          </w:p>
        </w:tc>
        <w:tc>
          <w:tcPr>
            <w:tcW w:w="140" w:type="dxa"/>
            <w:vAlign w:val="bottom"/>
          </w:tcPr>
          <w:p>
            <w:pPr>
              <w:spacing w:after="0"/>
              <w:rPr>
                <w:sz w:val="15"/>
                <w:szCs w:val="15"/>
                <w:color w:val="auto"/>
              </w:rPr>
            </w:pPr>
          </w:p>
        </w:tc>
        <w:tc>
          <w:tcPr>
            <w:tcW w:w="1440" w:type="dxa"/>
            <w:vAlign w:val="bottom"/>
          </w:tcPr>
          <w:p>
            <w:pPr>
              <w:jc w:val="right"/>
              <w:ind w:right="12"/>
              <w:spacing w:after="0"/>
              <w:rPr>
                <w:sz w:val="20"/>
                <w:szCs w:val="20"/>
                <w:color w:val="auto"/>
              </w:rPr>
            </w:pPr>
            <w:r>
              <w:rPr>
                <w:rFonts w:ascii="Arial" w:cs="Arial" w:eastAsia="Arial" w:hAnsi="Arial"/>
                <w:sz w:val="14"/>
                <w:szCs w:val="14"/>
                <w:color w:val="auto"/>
              </w:rPr>
              <w:t>1,000</w:t>
            </w:r>
          </w:p>
        </w:tc>
        <w:tc>
          <w:tcPr>
            <w:tcW w:w="10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1240" w:type="dxa"/>
            <w:vAlign w:val="bottom"/>
          </w:tcPr>
          <w:p>
            <w:pPr>
              <w:jc w:val="right"/>
              <w:spacing w:after="0"/>
              <w:rPr>
                <w:sz w:val="20"/>
                <w:szCs w:val="20"/>
                <w:color w:val="auto"/>
              </w:rPr>
            </w:pPr>
            <w:r>
              <w:rPr>
                <w:rFonts w:ascii="Arial" w:cs="Arial" w:eastAsia="Arial" w:hAnsi="Arial"/>
                <w:sz w:val="14"/>
                <w:szCs w:val="14"/>
                <w:color w:val="auto"/>
              </w:rPr>
              <w:t>834</w:t>
            </w:r>
          </w:p>
        </w:tc>
        <w:tc>
          <w:tcPr>
            <w:tcW w:w="0" w:type="dxa"/>
            <w:vAlign w:val="bottom"/>
          </w:tcPr>
          <w:p>
            <w:pPr>
              <w:spacing w:after="0"/>
              <w:rPr>
                <w:sz w:val="1"/>
                <w:szCs w:val="1"/>
                <w:color w:val="auto"/>
              </w:rPr>
            </w:pPr>
          </w:p>
        </w:tc>
      </w:tr>
    </w:tbl>
    <w:p>
      <w:pPr>
        <w:spacing w:after="0" w:line="291" w:lineRule="exact"/>
        <w:rPr>
          <w:sz w:val="20"/>
          <w:szCs w:val="20"/>
          <w:color w:val="auto"/>
        </w:rPr>
      </w:pPr>
    </w:p>
    <w:p>
      <w:pPr>
        <w:ind w:left="360"/>
        <w:spacing w:after="0"/>
        <w:rPr>
          <w:sz w:val="20"/>
          <w:szCs w:val="20"/>
          <w:color w:val="auto"/>
        </w:rPr>
      </w:pPr>
      <w:r>
        <w:rPr>
          <w:rFonts w:ascii="Arial" w:cs="Arial" w:eastAsia="Arial" w:hAnsi="Arial"/>
          <w:sz w:val="15"/>
          <w:szCs w:val="15"/>
          <w:color w:val="auto"/>
        </w:rPr>
        <w:t>The expected future principal payments for all borrowings as of April 30, 2023, were as follows (in millions):</w:t>
      </w:r>
    </w:p>
    <w:p>
      <w:pPr>
        <w:spacing w:after="0" w:line="108" w:lineRule="exact"/>
        <w:rPr>
          <w:sz w:val="20"/>
          <w:szCs w:val="20"/>
          <w:color w:val="auto"/>
        </w:rPr>
      </w:pPr>
    </w:p>
    <w:tbl>
      <w:tblPr>
        <w:tblLayout w:type="fixed"/>
        <w:tblInd w:w="0" w:type="dxa"/>
        <w:tblCellMar>
          <w:top w:w="0" w:type="dxa"/>
          <w:left w:w="0" w:type="dxa"/>
          <w:bottom w:w="0" w:type="dxa"/>
          <w:right w:w="0" w:type="dxa"/>
        </w:tblCellMar>
      </w:tblPr>
      <w:tr>
        <w:trPr>
          <w:trHeight w:val="182"/>
        </w:trPr>
        <w:tc>
          <w:tcPr>
            <w:tcW w:w="8820" w:type="dxa"/>
            <w:vAlign w:val="bottom"/>
          </w:tcPr>
          <w:p>
            <w:pPr>
              <w:ind w:left="20"/>
              <w:spacing w:after="0"/>
              <w:rPr>
                <w:sz w:val="20"/>
                <w:szCs w:val="20"/>
                <w:color w:val="auto"/>
              </w:rPr>
            </w:pPr>
            <w:r>
              <w:rPr>
                <w:rFonts w:ascii="Arial" w:cs="Arial" w:eastAsia="Arial" w:hAnsi="Arial"/>
                <w:sz w:val="14"/>
                <w:szCs w:val="14"/>
                <w:color w:val="auto"/>
              </w:rPr>
              <w:t>Fiscal year ending</w:t>
            </w:r>
          </w:p>
        </w:tc>
        <w:tc>
          <w:tcPr>
            <w:tcW w:w="720" w:type="dxa"/>
            <w:vAlign w:val="bottom"/>
          </w:tcPr>
          <w:p>
            <w:pPr>
              <w:spacing w:after="0"/>
              <w:rPr>
                <w:sz w:val="15"/>
                <w:szCs w:val="15"/>
                <w:color w:val="auto"/>
              </w:rPr>
            </w:pPr>
          </w:p>
        </w:tc>
        <w:tc>
          <w:tcPr>
            <w:tcW w:w="1040" w:type="dxa"/>
            <w:vAlign w:val="bottom"/>
          </w:tcPr>
          <w:p>
            <w:pPr>
              <w:spacing w:after="0"/>
              <w:rPr>
                <w:sz w:val="15"/>
                <w:szCs w:val="15"/>
                <w:color w:val="auto"/>
              </w:rPr>
            </w:pPr>
          </w:p>
        </w:tc>
      </w:tr>
      <w:tr>
        <w:trPr>
          <w:trHeight w:val="190"/>
        </w:trPr>
        <w:tc>
          <w:tcPr>
            <w:tcW w:w="8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2024 (remainder)</w:t>
            </w:r>
          </w:p>
        </w:tc>
        <w:tc>
          <w:tcPr>
            <w:tcW w:w="720" w:type="dxa"/>
            <w:vAlign w:val="bottom"/>
            <w:shd w:val="clear" w:color="auto" w:fill="CCEEFF"/>
          </w:tcPr>
          <w:p>
            <w:pPr>
              <w:jc w:val="right"/>
              <w:ind w:right="570"/>
              <w:spacing w:after="0"/>
              <w:rPr>
                <w:sz w:val="20"/>
                <w:szCs w:val="20"/>
                <w:color w:val="auto"/>
              </w:rPr>
            </w:pPr>
            <w:r>
              <w:rPr>
                <w:rFonts w:ascii="Arial" w:cs="Arial" w:eastAsia="Arial" w:hAnsi="Arial"/>
                <w:sz w:val="14"/>
                <w:szCs w:val="14"/>
                <w:color w:val="auto"/>
                <w:w w:val="76"/>
              </w:rPr>
              <w:t>$</w:t>
            </w: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r>
      <w:tr>
        <w:trPr>
          <w:trHeight w:val="185"/>
        </w:trPr>
        <w:tc>
          <w:tcPr>
            <w:tcW w:w="8820" w:type="dxa"/>
            <w:vAlign w:val="bottom"/>
          </w:tcPr>
          <w:p>
            <w:pPr>
              <w:ind w:left="20"/>
              <w:spacing w:after="0"/>
              <w:rPr>
                <w:sz w:val="20"/>
                <w:szCs w:val="20"/>
                <w:color w:val="auto"/>
              </w:rPr>
            </w:pPr>
            <w:r>
              <w:rPr>
                <w:rFonts w:ascii="Arial" w:cs="Arial" w:eastAsia="Arial" w:hAnsi="Arial"/>
                <w:sz w:val="14"/>
                <w:szCs w:val="14"/>
                <w:color w:val="auto"/>
              </w:rPr>
              <w:t>2025</w:t>
            </w:r>
          </w:p>
        </w:tc>
        <w:tc>
          <w:tcPr>
            <w:tcW w:w="720" w:type="dxa"/>
            <w:vAlign w:val="bottom"/>
          </w:tcPr>
          <w:p>
            <w:pPr>
              <w:spacing w:after="0"/>
              <w:rPr>
                <w:sz w:val="16"/>
                <w:szCs w:val="16"/>
                <w:color w:val="auto"/>
              </w:rPr>
            </w:pPr>
          </w:p>
        </w:tc>
        <w:tc>
          <w:tcPr>
            <w:tcW w:w="1040" w:type="dxa"/>
            <w:vAlign w:val="bottom"/>
          </w:tcPr>
          <w:p>
            <w:pPr>
              <w:jc w:val="right"/>
              <w:spacing w:after="0"/>
              <w:rPr>
                <w:sz w:val="20"/>
                <w:szCs w:val="20"/>
                <w:color w:val="auto"/>
              </w:rPr>
            </w:pPr>
            <w:r>
              <w:rPr>
                <w:rFonts w:ascii="Arial" w:cs="Arial" w:eastAsia="Arial" w:hAnsi="Arial"/>
                <w:sz w:val="14"/>
                <w:szCs w:val="14"/>
                <w:color w:val="auto"/>
              </w:rPr>
              <w:t>—</w:t>
            </w:r>
          </w:p>
        </w:tc>
      </w:tr>
      <w:tr>
        <w:trPr>
          <w:trHeight w:val="190"/>
        </w:trPr>
        <w:tc>
          <w:tcPr>
            <w:tcW w:w="8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2026</w:t>
            </w:r>
          </w:p>
        </w:tc>
        <w:tc>
          <w:tcPr>
            <w:tcW w:w="720" w:type="dxa"/>
            <w:vAlign w:val="bottom"/>
            <w:shd w:val="clear" w:color="auto" w:fill="CCEEFF"/>
          </w:tcPr>
          <w:p>
            <w:pPr>
              <w:spacing w:after="0"/>
              <w:rPr>
                <w:sz w:val="16"/>
                <w:szCs w:val="16"/>
                <w:color w:val="auto"/>
              </w:rPr>
            </w:pP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300</w:t>
            </w:r>
          </w:p>
        </w:tc>
      </w:tr>
      <w:tr>
        <w:trPr>
          <w:trHeight w:val="185"/>
        </w:trPr>
        <w:tc>
          <w:tcPr>
            <w:tcW w:w="8820" w:type="dxa"/>
            <w:vAlign w:val="bottom"/>
          </w:tcPr>
          <w:p>
            <w:pPr>
              <w:ind w:left="20"/>
              <w:spacing w:after="0"/>
              <w:rPr>
                <w:sz w:val="20"/>
                <w:szCs w:val="20"/>
                <w:color w:val="auto"/>
              </w:rPr>
            </w:pPr>
            <w:r>
              <w:rPr>
                <w:rFonts w:ascii="Arial" w:cs="Arial" w:eastAsia="Arial" w:hAnsi="Arial"/>
                <w:sz w:val="14"/>
                <w:szCs w:val="14"/>
                <w:color w:val="auto"/>
              </w:rPr>
              <w:t>2027</w:t>
            </w:r>
          </w:p>
        </w:tc>
        <w:tc>
          <w:tcPr>
            <w:tcW w:w="720" w:type="dxa"/>
            <w:vAlign w:val="bottom"/>
          </w:tcPr>
          <w:p>
            <w:pPr>
              <w:spacing w:after="0"/>
              <w:rPr>
                <w:sz w:val="16"/>
                <w:szCs w:val="16"/>
                <w:color w:val="auto"/>
              </w:rPr>
            </w:pPr>
          </w:p>
        </w:tc>
        <w:tc>
          <w:tcPr>
            <w:tcW w:w="1040" w:type="dxa"/>
            <w:vAlign w:val="bottom"/>
          </w:tcPr>
          <w:p>
            <w:pPr>
              <w:jc w:val="right"/>
              <w:spacing w:after="0"/>
              <w:rPr>
                <w:sz w:val="20"/>
                <w:szCs w:val="20"/>
                <w:color w:val="auto"/>
              </w:rPr>
            </w:pPr>
            <w:r>
              <w:rPr>
                <w:rFonts w:ascii="Arial" w:cs="Arial" w:eastAsia="Arial" w:hAnsi="Arial"/>
                <w:sz w:val="14"/>
                <w:szCs w:val="14"/>
                <w:color w:val="auto"/>
              </w:rPr>
              <w:t>—</w:t>
            </w:r>
          </w:p>
        </w:tc>
      </w:tr>
      <w:tr>
        <w:trPr>
          <w:trHeight w:val="190"/>
        </w:trPr>
        <w:tc>
          <w:tcPr>
            <w:tcW w:w="8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2028</w:t>
            </w:r>
          </w:p>
        </w:tc>
        <w:tc>
          <w:tcPr>
            <w:tcW w:w="720" w:type="dxa"/>
            <w:vAlign w:val="bottom"/>
            <w:shd w:val="clear" w:color="auto" w:fill="CCEEFF"/>
          </w:tcPr>
          <w:p>
            <w:pPr>
              <w:spacing w:after="0"/>
              <w:rPr>
                <w:sz w:val="16"/>
                <w:szCs w:val="16"/>
                <w:color w:val="auto"/>
              </w:rPr>
            </w:pP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500</w:t>
            </w:r>
          </w:p>
        </w:tc>
      </w:tr>
      <w:tr>
        <w:trPr>
          <w:trHeight w:val="185"/>
        </w:trPr>
        <w:tc>
          <w:tcPr>
            <w:tcW w:w="882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Thereafter</w:t>
            </w:r>
          </w:p>
        </w:tc>
        <w:tc>
          <w:tcPr>
            <w:tcW w:w="720" w:type="dxa"/>
            <w:vAlign w:val="bottom"/>
            <w:tcBorders>
              <w:bottom w:val="single" w:sz="8" w:color="auto"/>
            </w:tcBorders>
          </w:tcPr>
          <w:p>
            <w:pPr>
              <w:spacing w:after="0"/>
              <w:rPr>
                <w:sz w:val="16"/>
                <w:szCs w:val="16"/>
                <w:color w:val="auto"/>
              </w:rPr>
            </w:pPr>
          </w:p>
        </w:tc>
        <w:tc>
          <w:tcPr>
            <w:tcW w:w="10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1,500</w:t>
            </w:r>
          </w:p>
        </w:tc>
      </w:tr>
      <w:tr>
        <w:trPr>
          <w:trHeight w:val="207"/>
        </w:trPr>
        <w:tc>
          <w:tcPr>
            <w:tcW w:w="882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Total principal outstanding</w:t>
            </w:r>
          </w:p>
        </w:tc>
        <w:tc>
          <w:tcPr>
            <w:tcW w:w="720" w:type="dxa"/>
            <w:vAlign w:val="bottom"/>
            <w:tcBorders>
              <w:bottom w:val="single" w:sz="8" w:color="auto"/>
            </w:tcBorders>
            <w:shd w:val="clear" w:color="auto" w:fill="CCEEFF"/>
          </w:tcPr>
          <w:p>
            <w:pPr>
              <w:jc w:val="right"/>
              <w:ind w:right="570"/>
              <w:spacing w:after="0"/>
              <w:rPr>
                <w:sz w:val="20"/>
                <w:szCs w:val="20"/>
                <w:color w:val="auto"/>
              </w:rPr>
            </w:pPr>
            <w:r>
              <w:rPr>
                <w:rFonts w:ascii="Arial" w:cs="Arial" w:eastAsia="Arial" w:hAnsi="Arial"/>
                <w:sz w:val="14"/>
                <w:szCs w:val="14"/>
                <w:color w:val="auto"/>
                <w:w w:val="76"/>
              </w:rPr>
              <w:t>$</w:t>
            </w:r>
          </w:p>
        </w:tc>
        <w:tc>
          <w:tcPr>
            <w:tcW w:w="10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2,300</w:t>
            </w:r>
          </w:p>
        </w:tc>
      </w:tr>
      <w:tr>
        <w:trPr>
          <w:trHeight w:val="20"/>
        </w:trPr>
        <w:tc>
          <w:tcPr>
            <w:tcW w:w="8820" w:type="dxa"/>
            <w:vAlign w:val="bottom"/>
            <w:tcBorders>
              <w:top w:val="single" w:sz="8" w:color="CCEEFF"/>
            </w:tcBorders>
          </w:tcPr>
          <w:p>
            <w:pPr>
              <w:spacing w:after="0" w:line="20" w:lineRule="exact"/>
              <w:rPr>
                <w:sz w:val="1"/>
                <w:szCs w:val="1"/>
                <w:color w:val="auto"/>
              </w:rPr>
            </w:pPr>
          </w:p>
        </w:tc>
        <w:tc>
          <w:tcPr>
            <w:tcW w:w="720" w:type="dxa"/>
            <w:vAlign w:val="bottom"/>
            <w:tcBorders>
              <w:top w:val="single" w:sz="8" w:color="CCEEFF"/>
              <w:bottom w:val="single" w:sz="8" w:color="auto"/>
            </w:tcBorders>
          </w:tcPr>
          <w:p>
            <w:pPr>
              <w:spacing w:after="0" w:line="20" w:lineRule="exact"/>
              <w:rPr>
                <w:sz w:val="1"/>
                <w:szCs w:val="1"/>
                <w:color w:val="auto"/>
              </w:rPr>
            </w:pPr>
          </w:p>
        </w:tc>
        <w:tc>
          <w:tcPr>
            <w:tcW w:w="1040" w:type="dxa"/>
            <w:vAlign w:val="bottom"/>
            <w:tcBorders>
              <w:top w:val="single" w:sz="8" w:color="CCEEFF"/>
              <w:bottom w:val="single" w:sz="8" w:color="auto"/>
            </w:tcBorders>
          </w:tcPr>
          <w:p>
            <w:pPr>
              <w:spacing w:after="0" w:line="20" w:lineRule="exact"/>
              <w:rPr>
                <w:sz w:val="1"/>
                <w:szCs w:val="1"/>
                <w:color w:val="auto"/>
              </w:rPr>
            </w:pPr>
          </w:p>
        </w:tc>
      </w:tr>
    </w:tbl>
    <w:p>
      <w:pPr>
        <w:spacing w:after="0" w:line="278"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auto"/>
        </w:rPr>
        <w:t>14</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Leases</w:t>
      </w:r>
    </w:p>
    <w:p>
      <w:pPr>
        <w:spacing w:after="0" w:line="234" w:lineRule="exact"/>
        <w:rPr>
          <w:sz w:val="20"/>
          <w:szCs w:val="20"/>
          <w:color w:val="auto"/>
        </w:rPr>
      </w:pPr>
    </w:p>
    <w:p>
      <w:pPr>
        <w:ind w:right="60" w:firstLine="351"/>
        <w:spacing w:after="0" w:line="247" w:lineRule="auto"/>
        <w:rPr>
          <w:sz w:val="20"/>
          <w:szCs w:val="20"/>
          <w:color w:val="auto"/>
        </w:rPr>
      </w:pPr>
      <w:r>
        <w:rPr>
          <w:rFonts w:ascii="Arial" w:cs="Arial" w:eastAsia="Arial" w:hAnsi="Arial"/>
          <w:sz w:val="15"/>
          <w:szCs w:val="15"/>
          <w:color w:val="auto"/>
        </w:rPr>
        <w:t>Autodesk has operating leases for real estate, vehicles, and certain equipment. Leases have remaining lease terms of less than 1 year to 67 years, some of which include options to extend the lease with renewal terms from 1 year to 9 years and some of which include options to terminate the leases from less than 1 year to 7 years. Options to extend or terminate the lease are considered in determining the lease term when it is reasonably certain that the option will be exercised. Payments under our lease arrangements are primarily fixed; however, certain lease agreements contain variable payments, which are expensed as incurred and not included in the operating lease assets and liabilities. These amounts include payments affected by the Consumer Price Index, payments for common area maintenance that are subject to annual reconciliation, and payments for maintenance and utilities. The Company’s leases do not contain residual value guarantees or material restrictive covenants. Short-term leases are recognized in the Condensed Consolidated Statements of Operations on a straight-line basis over the lease term. Short-term lease expense was not material for the periods presented. Changes in operating lease right-of-use assets and operating lease liabilities are presented net in the “Accounts payable and other liabilities” line in the Condensed Consolidated Statements of Cash Flows with the exception of “Lease-related asset impairments” which is presented in “Adjustments to reconcile net income to net cash provided by operating activities”.</w:t>
      </w:r>
    </w:p>
    <w:p>
      <w:pPr>
        <w:spacing w:after="0" w:line="203" w:lineRule="exact"/>
        <w:rPr>
          <w:sz w:val="20"/>
          <w:szCs w:val="20"/>
          <w:color w:val="auto"/>
        </w:rPr>
      </w:pPr>
    </w:p>
    <w:p>
      <w:pPr>
        <w:ind w:left="360"/>
        <w:spacing w:after="0"/>
        <w:rPr>
          <w:sz w:val="20"/>
          <w:szCs w:val="20"/>
          <w:color w:val="auto"/>
        </w:rPr>
      </w:pPr>
      <w:r>
        <w:rPr>
          <w:rFonts w:ascii="Arial" w:cs="Arial" w:eastAsia="Arial" w:hAnsi="Arial"/>
          <w:sz w:val="15"/>
          <w:szCs w:val="15"/>
          <w:color w:val="auto"/>
        </w:rPr>
        <w:t>The components of lease cost were as follows:</w:t>
      </w:r>
    </w:p>
    <w:p>
      <w:pPr>
        <w:spacing w:after="0" w:line="3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23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020" w:type="dxa"/>
            <w:vAlign w:val="bottom"/>
            <w:tcBorders>
              <w:bottom w:val="single" w:sz="8" w:color="auto"/>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940" w:type="dxa"/>
            <w:vAlign w:val="bottom"/>
            <w:tcBorders>
              <w:bottom w:val="single" w:sz="8" w:color="auto"/>
            </w:tcBorders>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2240" w:type="dxa"/>
            <w:vAlign w:val="bottom"/>
            <w:tcBorders>
              <w:bottom w:val="single" w:sz="8" w:color="auto"/>
            </w:tcBorders>
            <w:gridSpan w:val="7"/>
          </w:tcPr>
          <w:p>
            <w:pPr>
              <w:ind w:left="40"/>
              <w:spacing w:after="0"/>
              <w:rPr>
                <w:sz w:val="20"/>
                <w:szCs w:val="20"/>
                <w:color w:val="auto"/>
              </w:rPr>
            </w:pPr>
            <w:r>
              <w:rPr>
                <w:rFonts w:ascii="Arial" w:cs="Arial" w:eastAsia="Arial" w:hAnsi="Arial"/>
                <w:sz w:val="13"/>
                <w:szCs w:val="13"/>
                <w:b w:val="1"/>
                <w:bCs w:val="1"/>
                <w:color w:val="auto"/>
              </w:rPr>
              <w:t>Three Months Ended April 30, 2023</w:t>
            </w:r>
          </w:p>
        </w:tc>
        <w:tc>
          <w:tcPr>
            <w:tcW w:w="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08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1"/>
        </w:trPr>
        <w:tc>
          <w:tcPr>
            <w:tcW w:w="23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60" w:type="dxa"/>
            <w:vAlign w:val="bottom"/>
            <w:gridSpan w:val="3"/>
          </w:tcPr>
          <w:p>
            <w:pPr>
              <w:ind w:left="580"/>
              <w:spacing w:after="0" w:line="121" w:lineRule="exact"/>
              <w:rPr>
                <w:sz w:val="20"/>
                <w:szCs w:val="20"/>
                <w:color w:val="auto"/>
              </w:rPr>
            </w:pPr>
            <w:r>
              <w:rPr>
                <w:rFonts w:ascii="Arial" w:cs="Arial" w:eastAsia="Arial" w:hAnsi="Arial"/>
                <w:sz w:val="13"/>
                <w:szCs w:val="13"/>
                <w:b w:val="1"/>
                <w:bCs w:val="1"/>
                <w:color w:val="auto"/>
              </w:rPr>
              <w:t>Cost of</w:t>
            </w: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8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23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60" w:type="dxa"/>
            <w:vAlign w:val="bottom"/>
            <w:gridSpan w:val="3"/>
          </w:tcPr>
          <w:p>
            <w:pPr>
              <w:jc w:val="center"/>
              <w:spacing w:after="0" w:line="129" w:lineRule="exact"/>
              <w:rPr>
                <w:sz w:val="20"/>
                <w:szCs w:val="20"/>
                <w:color w:val="auto"/>
              </w:rPr>
            </w:pPr>
            <w:r>
              <w:rPr>
                <w:rFonts w:ascii="Arial" w:cs="Arial" w:eastAsia="Arial" w:hAnsi="Arial"/>
                <w:sz w:val="13"/>
                <w:szCs w:val="13"/>
                <w:b w:val="1"/>
                <w:bCs w:val="1"/>
                <w:color w:val="auto"/>
                <w:w w:val="97"/>
              </w:rPr>
              <w:t>subscription and</w:t>
            </w: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40" w:type="dxa"/>
            <w:vAlign w:val="bottom"/>
            <w:gridSpan w:val="3"/>
            <w:vMerge w:val="restart"/>
          </w:tcPr>
          <w:p>
            <w:pPr>
              <w:ind w:left="400"/>
              <w:spacing w:after="0"/>
              <w:rPr>
                <w:sz w:val="20"/>
                <w:szCs w:val="20"/>
                <w:color w:val="auto"/>
              </w:rPr>
            </w:pPr>
            <w:r>
              <w:rPr>
                <w:rFonts w:ascii="Arial" w:cs="Arial" w:eastAsia="Arial" w:hAnsi="Arial"/>
                <w:sz w:val="13"/>
                <w:szCs w:val="13"/>
                <w:b w:val="1"/>
                <w:bCs w:val="1"/>
                <w:color w:val="auto"/>
              </w:rPr>
              <w:t>Cost of other</w:t>
            </w: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300" w:type="dxa"/>
            <w:vAlign w:val="bottom"/>
            <w:gridSpan w:val="3"/>
            <w:vMerge w:val="restart"/>
          </w:tcPr>
          <w:p>
            <w:pPr>
              <w:ind w:left="400"/>
              <w:spacing w:after="0"/>
              <w:rPr>
                <w:sz w:val="20"/>
                <w:szCs w:val="20"/>
                <w:color w:val="auto"/>
              </w:rPr>
            </w:pPr>
            <w:r>
              <w:rPr>
                <w:rFonts w:ascii="Arial" w:cs="Arial" w:eastAsia="Arial" w:hAnsi="Arial"/>
                <w:sz w:val="13"/>
                <w:szCs w:val="13"/>
                <w:b w:val="1"/>
                <w:bCs w:val="1"/>
                <w:color w:val="auto"/>
                <w:w w:val="99"/>
              </w:rPr>
              <w:t>Marketing and</w:t>
            </w: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280" w:type="dxa"/>
            <w:vAlign w:val="bottom"/>
            <w:gridSpan w:val="3"/>
            <w:vMerge w:val="restart"/>
          </w:tcPr>
          <w:p>
            <w:pPr>
              <w:ind w:left="380"/>
              <w:spacing w:after="0"/>
              <w:rPr>
                <w:sz w:val="20"/>
                <w:szCs w:val="20"/>
                <w:color w:val="auto"/>
              </w:rPr>
            </w:pPr>
            <w:r>
              <w:rPr>
                <w:rFonts w:ascii="Arial" w:cs="Arial" w:eastAsia="Arial" w:hAnsi="Arial"/>
                <w:sz w:val="13"/>
                <w:szCs w:val="13"/>
                <w:b w:val="1"/>
                <w:bCs w:val="1"/>
                <w:color w:val="auto"/>
              </w:rPr>
              <w:t>Research and</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80" w:type="dxa"/>
            <w:vAlign w:val="bottom"/>
            <w:gridSpan w:val="3"/>
            <w:vMerge w:val="restart"/>
          </w:tcPr>
          <w:p>
            <w:pPr>
              <w:ind w:left="440"/>
              <w:spacing w:after="0"/>
              <w:rPr>
                <w:sz w:val="20"/>
                <w:szCs w:val="20"/>
                <w:color w:val="auto"/>
              </w:rPr>
            </w:pPr>
            <w:r>
              <w:rPr>
                <w:rFonts w:ascii="Arial" w:cs="Arial" w:eastAsia="Arial" w:hAnsi="Arial"/>
                <w:sz w:val="13"/>
                <w:szCs w:val="13"/>
                <w:b w:val="1"/>
                <w:bCs w:val="1"/>
                <w:color w:val="auto"/>
              </w:rPr>
              <w:t>General and</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3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20" w:type="dxa"/>
            <w:vAlign w:val="bottom"/>
          </w:tcPr>
          <w:p>
            <w:pPr>
              <w:jc w:val="center"/>
              <w:ind w:left="174"/>
              <w:spacing w:after="0" w:line="129" w:lineRule="exact"/>
              <w:rPr>
                <w:sz w:val="20"/>
                <w:szCs w:val="20"/>
                <w:color w:val="auto"/>
              </w:rPr>
            </w:pPr>
            <w:r>
              <w:rPr>
                <w:rFonts w:ascii="Arial" w:cs="Arial" w:eastAsia="Arial" w:hAnsi="Arial"/>
                <w:sz w:val="13"/>
                <w:szCs w:val="13"/>
                <w:b w:val="1"/>
                <w:bCs w:val="1"/>
                <w:color w:val="auto"/>
                <w:w w:val="98"/>
              </w:rPr>
              <w:t>maintenance</w:t>
            </w:r>
          </w:p>
        </w:tc>
        <w:tc>
          <w:tcPr>
            <w:tcW w:w="2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40" w:type="dxa"/>
            <w:vAlign w:val="bottom"/>
            <w:gridSpan w:val="3"/>
            <w:vMerge w:val="continue"/>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30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28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8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760" w:type="dxa"/>
            <w:vAlign w:val="bottom"/>
            <w:gridSpan w:val="2"/>
            <w:vMerge w:val="restart"/>
          </w:tcPr>
          <w:p>
            <w:pPr>
              <w:ind w:left="140"/>
              <w:spacing w:after="0"/>
              <w:rPr>
                <w:sz w:val="20"/>
                <w:szCs w:val="20"/>
                <w:color w:val="auto"/>
              </w:rPr>
            </w:pPr>
            <w:r>
              <w:rPr>
                <w:rFonts w:ascii="Arial" w:cs="Arial" w:eastAsia="Arial" w:hAnsi="Arial"/>
                <w:sz w:val="13"/>
                <w:szCs w:val="13"/>
                <w:b w:val="1"/>
                <w:bCs w:val="1"/>
                <w:color w:val="auto"/>
              </w:rPr>
              <w:t>Total</w:t>
            </w:r>
          </w:p>
        </w:tc>
        <w:tc>
          <w:tcPr>
            <w:tcW w:w="0" w:type="dxa"/>
            <w:vAlign w:val="bottom"/>
          </w:tcPr>
          <w:p>
            <w:pPr>
              <w:spacing w:after="0"/>
              <w:rPr>
                <w:sz w:val="1"/>
                <w:szCs w:val="1"/>
                <w:color w:val="auto"/>
              </w:rPr>
            </w:pPr>
          </w:p>
        </w:tc>
      </w:tr>
      <w:tr>
        <w:trPr>
          <w:trHeight w:val="176"/>
        </w:trPr>
        <w:tc>
          <w:tcPr>
            <w:tcW w:w="2380" w:type="dxa"/>
            <w:vAlign w:val="bottom"/>
            <w:tcBorders>
              <w:bottom w:val="single" w:sz="8" w:color="CCEEFF"/>
            </w:tcBorders>
          </w:tcPr>
          <w:p>
            <w:pPr>
              <w:spacing w:after="0"/>
              <w:rPr>
                <w:sz w:val="15"/>
                <w:szCs w:val="15"/>
                <w:color w:val="auto"/>
              </w:rPr>
            </w:pPr>
          </w:p>
        </w:tc>
        <w:tc>
          <w:tcPr>
            <w:tcW w:w="20" w:type="dxa"/>
            <w:vAlign w:val="bottom"/>
            <w:tcBorders>
              <w:bottom w:val="single" w:sz="8" w:color="CCEEFF"/>
            </w:tcBorders>
          </w:tcPr>
          <w:p>
            <w:pPr>
              <w:spacing w:after="0"/>
              <w:rPr>
                <w:sz w:val="15"/>
                <w:szCs w:val="15"/>
                <w:color w:val="auto"/>
              </w:rPr>
            </w:pPr>
          </w:p>
        </w:tc>
        <w:tc>
          <w:tcPr>
            <w:tcW w:w="1020" w:type="dxa"/>
            <w:vAlign w:val="bottom"/>
            <w:tcBorders>
              <w:bottom w:val="single" w:sz="8" w:color="auto"/>
            </w:tcBorders>
          </w:tcPr>
          <w:p>
            <w:pPr>
              <w:jc w:val="center"/>
              <w:ind w:left="174"/>
              <w:spacing w:after="0"/>
              <w:rPr>
                <w:sz w:val="20"/>
                <w:szCs w:val="20"/>
                <w:color w:val="auto"/>
              </w:rPr>
            </w:pPr>
            <w:r>
              <w:rPr>
                <w:rFonts w:ascii="Arial" w:cs="Arial" w:eastAsia="Arial" w:hAnsi="Arial"/>
                <w:sz w:val="13"/>
                <w:szCs w:val="13"/>
                <w:b w:val="1"/>
                <w:bCs w:val="1"/>
                <w:color w:val="auto"/>
              </w:rPr>
              <w:t>revenue</w:t>
            </w:r>
          </w:p>
        </w:tc>
        <w:tc>
          <w:tcPr>
            <w:tcW w:w="20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940" w:type="dxa"/>
            <w:vAlign w:val="bottom"/>
            <w:tcBorders>
              <w:bottom w:val="single" w:sz="8" w:color="auto"/>
            </w:tcBorders>
          </w:tcPr>
          <w:p>
            <w:pPr>
              <w:ind w:left="380"/>
              <w:spacing w:after="0"/>
              <w:rPr>
                <w:sz w:val="20"/>
                <w:szCs w:val="20"/>
                <w:color w:val="auto"/>
              </w:rPr>
            </w:pPr>
            <w:r>
              <w:rPr>
                <w:rFonts w:ascii="Arial" w:cs="Arial" w:eastAsia="Arial" w:hAnsi="Arial"/>
                <w:sz w:val="13"/>
                <w:szCs w:val="13"/>
                <w:b w:val="1"/>
                <w:bCs w:val="1"/>
                <w:color w:val="auto"/>
              </w:rPr>
              <w:t>revenue</w:t>
            </w:r>
          </w:p>
        </w:tc>
        <w:tc>
          <w:tcPr>
            <w:tcW w:w="2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gridSpan w:val="2"/>
          </w:tcPr>
          <w:p>
            <w:pPr>
              <w:ind w:left="60"/>
              <w:spacing w:after="0"/>
              <w:rPr>
                <w:sz w:val="20"/>
                <w:szCs w:val="20"/>
                <w:color w:val="auto"/>
              </w:rPr>
            </w:pPr>
            <w:r>
              <w:rPr>
                <w:rFonts w:ascii="Arial" w:cs="Arial" w:eastAsia="Arial" w:hAnsi="Arial"/>
                <w:sz w:val="13"/>
                <w:szCs w:val="13"/>
                <w:b w:val="1"/>
                <w:bCs w:val="1"/>
                <w:color w:val="auto"/>
              </w:rPr>
              <w:t>sales</w:t>
            </w:r>
          </w:p>
        </w:tc>
        <w:tc>
          <w:tcPr>
            <w:tcW w:w="40" w:type="dxa"/>
            <w:vAlign w:val="bottom"/>
            <w:tcBorders>
              <w:bottom w:val="single" w:sz="8" w:color="CCEEFF"/>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1060" w:type="dxa"/>
            <w:vAlign w:val="bottom"/>
            <w:tcBorders>
              <w:bottom w:val="single" w:sz="8" w:color="auto"/>
            </w:tcBorders>
          </w:tcPr>
          <w:p>
            <w:pPr>
              <w:ind w:left="240"/>
              <w:spacing w:after="0"/>
              <w:rPr>
                <w:sz w:val="20"/>
                <w:szCs w:val="20"/>
                <w:color w:val="auto"/>
              </w:rPr>
            </w:pPr>
            <w:r>
              <w:rPr>
                <w:rFonts w:ascii="Arial" w:cs="Arial" w:eastAsia="Arial" w:hAnsi="Arial"/>
                <w:sz w:val="13"/>
                <w:szCs w:val="13"/>
                <w:b w:val="1"/>
                <w:bCs w:val="1"/>
                <w:color w:val="auto"/>
                <w:w w:val="99"/>
              </w:rPr>
              <w:t>development</w:t>
            </w:r>
          </w:p>
        </w:tc>
        <w:tc>
          <w:tcPr>
            <w:tcW w:w="1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administrative</w:t>
            </w:r>
          </w:p>
        </w:tc>
        <w:tc>
          <w:tcPr>
            <w:tcW w:w="1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gridSpan w:val="2"/>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400" w:type="dxa"/>
            <w:vAlign w:val="bottom"/>
            <w:gridSpan w:val="2"/>
            <w:shd w:val="clear" w:color="auto" w:fill="CCEEFF"/>
          </w:tcPr>
          <w:p>
            <w:pPr>
              <w:ind w:left="360"/>
              <w:spacing w:after="0"/>
              <w:rPr>
                <w:sz w:val="20"/>
                <w:szCs w:val="20"/>
                <w:color w:val="auto"/>
              </w:rPr>
            </w:pPr>
            <w:r>
              <w:rPr>
                <w:rFonts w:ascii="Arial" w:cs="Arial" w:eastAsia="Arial" w:hAnsi="Arial"/>
                <w:sz w:val="14"/>
                <w:szCs w:val="14"/>
                <w:color w:val="auto"/>
              </w:rPr>
              <w:t>Operating lease cost</w:t>
            </w:r>
          </w:p>
        </w:tc>
        <w:tc>
          <w:tcPr>
            <w:tcW w:w="1020" w:type="dxa"/>
            <w:vAlign w:val="bottom"/>
            <w:shd w:val="clear" w:color="auto" w:fill="CCEEFF"/>
          </w:tcPr>
          <w:p>
            <w:pPr>
              <w:ind w:left="360"/>
              <w:spacing w:after="0"/>
              <w:rPr>
                <w:sz w:val="20"/>
                <w:szCs w:val="20"/>
                <w:color w:val="auto"/>
              </w:rPr>
            </w:pPr>
            <w:r>
              <w:rPr>
                <w:rFonts w:ascii="Arial" w:cs="Arial" w:eastAsia="Arial" w:hAnsi="Arial"/>
                <w:sz w:val="14"/>
                <w:szCs w:val="14"/>
                <w:color w:val="auto"/>
              </w:rPr>
              <w:t>$</w:t>
            </w:r>
          </w:p>
        </w:tc>
        <w:tc>
          <w:tcPr>
            <w:tcW w:w="2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40" w:type="dxa"/>
            <w:vAlign w:val="bottom"/>
            <w:shd w:val="clear" w:color="auto" w:fill="CCEEFF"/>
          </w:tcPr>
          <w:p>
            <w:pPr>
              <w:spacing w:after="0"/>
              <w:rPr>
                <w:sz w:val="15"/>
                <w:szCs w:val="15"/>
                <w:color w:val="auto"/>
              </w:rPr>
            </w:pPr>
          </w:p>
        </w:tc>
        <w:tc>
          <w:tcPr>
            <w:tcW w:w="1040" w:type="dxa"/>
            <w:vAlign w:val="bottom"/>
            <w:gridSpan w:val="3"/>
            <w:shd w:val="clear" w:color="auto" w:fill="CCEEFF"/>
          </w:tcPr>
          <w:p>
            <w:pPr>
              <w:ind w:left="460"/>
              <w:spacing w:after="0"/>
              <w:rPr>
                <w:sz w:val="20"/>
                <w:szCs w:val="20"/>
                <w:color w:val="auto"/>
              </w:rPr>
            </w:pPr>
            <w:r>
              <w:rPr>
                <w:rFonts w:ascii="Arial" w:cs="Arial" w:eastAsia="Arial" w:hAnsi="Arial"/>
                <w:sz w:val="14"/>
                <w:szCs w:val="14"/>
                <w:color w:val="auto"/>
              </w:rPr>
              <w:t>$</w:t>
            </w:r>
          </w:p>
        </w:tc>
        <w:tc>
          <w:tcPr>
            <w:tcW w:w="2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40" w:type="dxa"/>
            <w:vAlign w:val="bottom"/>
            <w:shd w:val="clear" w:color="auto" w:fill="CCEEFF"/>
          </w:tcPr>
          <w:p>
            <w:pPr>
              <w:spacing w:after="0"/>
              <w:rPr>
                <w:sz w:val="15"/>
                <w:szCs w:val="15"/>
                <w:color w:val="auto"/>
              </w:rPr>
            </w:pPr>
          </w:p>
        </w:tc>
        <w:tc>
          <w:tcPr>
            <w:tcW w:w="540" w:type="dxa"/>
            <w:vAlign w:val="bottom"/>
            <w:gridSpan w:val="3"/>
            <w:shd w:val="clear" w:color="auto" w:fill="CCEEFF"/>
          </w:tcPr>
          <w:p>
            <w:pPr>
              <w:ind w:left="460"/>
              <w:spacing w:after="0"/>
              <w:rPr>
                <w:sz w:val="20"/>
                <w:szCs w:val="20"/>
                <w:color w:val="auto"/>
              </w:rPr>
            </w:pPr>
            <w:r>
              <w:rPr>
                <w:rFonts w:ascii="Arial" w:cs="Arial" w:eastAsia="Arial" w:hAnsi="Arial"/>
                <w:sz w:val="14"/>
                <w:szCs w:val="14"/>
                <w:color w:val="auto"/>
                <w:w w:val="76"/>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w:t>
            </w:r>
          </w:p>
        </w:tc>
        <w:tc>
          <w:tcPr>
            <w:tcW w:w="40" w:type="dxa"/>
            <w:vAlign w:val="bottom"/>
            <w:shd w:val="clear" w:color="auto" w:fill="CCEEFF"/>
          </w:tcPr>
          <w:p>
            <w:pPr>
              <w:spacing w:after="0"/>
              <w:rPr>
                <w:sz w:val="15"/>
                <w:szCs w:val="15"/>
                <w:color w:val="auto"/>
              </w:rPr>
            </w:pPr>
          </w:p>
        </w:tc>
        <w:tc>
          <w:tcPr>
            <w:tcW w:w="1160" w:type="dxa"/>
            <w:vAlign w:val="bottom"/>
            <w:gridSpan w:val="3"/>
            <w:shd w:val="clear" w:color="auto" w:fill="CCEEFF"/>
          </w:tcPr>
          <w:p>
            <w:pPr>
              <w:ind w:left="460"/>
              <w:spacing w:after="0"/>
              <w:rPr>
                <w:sz w:val="20"/>
                <w:szCs w:val="20"/>
                <w:color w:val="auto"/>
              </w:rPr>
            </w:pPr>
            <w:r>
              <w:rPr>
                <w:rFonts w:ascii="Arial" w:cs="Arial" w:eastAsia="Arial" w:hAnsi="Arial"/>
                <w:sz w:val="14"/>
                <w:szCs w:val="14"/>
                <w:color w:val="auto"/>
              </w:rPr>
              <w:t>$</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w:t>
            </w:r>
          </w:p>
        </w:tc>
        <w:tc>
          <w:tcPr>
            <w:tcW w:w="60" w:type="dxa"/>
            <w:vAlign w:val="bottom"/>
            <w:shd w:val="clear" w:color="auto" w:fill="CCEEFF"/>
          </w:tcPr>
          <w:p>
            <w:pPr>
              <w:spacing w:after="0"/>
              <w:rPr>
                <w:sz w:val="15"/>
                <w:szCs w:val="15"/>
                <w:color w:val="auto"/>
              </w:rPr>
            </w:pPr>
          </w:p>
        </w:tc>
        <w:tc>
          <w:tcPr>
            <w:tcW w:w="1160" w:type="dxa"/>
            <w:vAlign w:val="bottom"/>
            <w:gridSpan w:val="3"/>
            <w:shd w:val="clear" w:color="auto" w:fill="CCEEFF"/>
          </w:tcPr>
          <w:p>
            <w:pPr>
              <w:jc w:val="right"/>
              <w:ind w:right="576"/>
              <w:spacing w:after="0"/>
              <w:rPr>
                <w:sz w:val="20"/>
                <w:szCs w:val="20"/>
                <w:color w:val="auto"/>
              </w:rPr>
            </w:pPr>
            <w:r>
              <w:rPr>
                <w:rFonts w:ascii="Arial" w:cs="Arial" w:eastAsia="Arial" w:hAnsi="Arial"/>
                <w:sz w:val="14"/>
                <w:szCs w:val="14"/>
                <w:color w:val="auto"/>
              </w:rPr>
              <w:t>$</w:t>
            </w: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60" w:type="dxa"/>
            <w:vAlign w:val="bottom"/>
            <w:shd w:val="clear" w:color="auto" w:fill="CCEEFF"/>
          </w:tcPr>
          <w:p>
            <w:pPr>
              <w:spacing w:after="0"/>
              <w:rPr>
                <w:sz w:val="15"/>
                <w:szCs w:val="15"/>
                <w:color w:val="auto"/>
              </w:rPr>
            </w:pPr>
          </w:p>
        </w:tc>
        <w:tc>
          <w:tcPr>
            <w:tcW w:w="620" w:type="dxa"/>
            <w:vAlign w:val="bottom"/>
            <w:gridSpan w:val="3"/>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w:t>
            </w:r>
          </w:p>
        </w:tc>
        <w:tc>
          <w:tcPr>
            <w:tcW w:w="4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83"/>
        </w:trPr>
        <w:tc>
          <w:tcPr>
            <w:tcW w:w="2400" w:type="dxa"/>
            <w:vAlign w:val="bottom"/>
            <w:gridSpan w:val="2"/>
          </w:tcPr>
          <w:p>
            <w:pPr>
              <w:ind w:left="360"/>
              <w:spacing w:after="0"/>
              <w:rPr>
                <w:sz w:val="20"/>
                <w:szCs w:val="20"/>
                <w:color w:val="auto"/>
              </w:rPr>
            </w:pPr>
            <w:r>
              <w:rPr>
                <w:rFonts w:ascii="Arial" w:cs="Arial" w:eastAsia="Arial" w:hAnsi="Arial"/>
                <w:sz w:val="14"/>
                <w:szCs w:val="14"/>
                <w:color w:val="auto"/>
              </w:rPr>
              <w:t>Variable lease cost</w:t>
            </w:r>
          </w:p>
        </w:tc>
        <w:tc>
          <w:tcPr>
            <w:tcW w:w="1020" w:type="dxa"/>
            <w:vAlign w:val="bottom"/>
          </w:tcPr>
          <w:p>
            <w:pPr>
              <w:spacing w:after="0"/>
              <w:rPr>
                <w:sz w:val="15"/>
                <w:szCs w:val="15"/>
                <w:color w:val="auto"/>
              </w:rPr>
            </w:pPr>
          </w:p>
        </w:tc>
        <w:tc>
          <w:tcPr>
            <w:tcW w:w="2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30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20" w:type="dxa"/>
            <w:vAlign w:val="bottom"/>
          </w:tcPr>
          <w:p>
            <w:pPr>
              <w:jc w:val="right"/>
              <w:spacing w:after="0"/>
              <w:rPr>
                <w:sz w:val="20"/>
                <w:szCs w:val="20"/>
                <w:color w:val="auto"/>
              </w:rPr>
            </w:pPr>
            <w:r>
              <w:rPr>
                <w:rFonts w:ascii="Arial" w:cs="Arial" w:eastAsia="Arial" w:hAnsi="Arial"/>
                <w:sz w:val="14"/>
                <w:szCs w:val="14"/>
                <w:color w:val="auto"/>
              </w:rPr>
              <w:t>2</w:t>
            </w: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60" w:type="dxa"/>
            <w:vAlign w:val="bottom"/>
          </w:tcPr>
          <w:p>
            <w:pPr>
              <w:spacing w:after="0"/>
              <w:rPr>
                <w:sz w:val="15"/>
                <w:szCs w:val="15"/>
                <w:color w:val="auto"/>
              </w:rPr>
            </w:pPr>
          </w:p>
        </w:tc>
        <w:tc>
          <w:tcPr>
            <w:tcW w:w="160" w:type="dxa"/>
            <w:vAlign w:val="bottom"/>
          </w:tcPr>
          <w:p>
            <w:pPr>
              <w:jc w:val="right"/>
              <w:spacing w:after="0"/>
              <w:rPr>
                <w:sz w:val="20"/>
                <w:szCs w:val="20"/>
                <w:color w:val="auto"/>
              </w:rPr>
            </w:pPr>
            <w:r>
              <w:rPr>
                <w:rFonts w:ascii="Arial" w:cs="Arial" w:eastAsia="Arial" w:hAnsi="Arial"/>
                <w:sz w:val="14"/>
                <w:szCs w:val="14"/>
                <w:color w:val="auto"/>
              </w:rPr>
              <w:t>1</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080" w:type="dxa"/>
            <w:vAlign w:val="bottom"/>
          </w:tcPr>
          <w:p>
            <w:pPr>
              <w:spacing w:after="0"/>
              <w:rPr>
                <w:sz w:val="15"/>
                <w:szCs w:val="15"/>
                <w:color w:val="auto"/>
              </w:rPr>
            </w:pPr>
          </w:p>
        </w:tc>
        <w:tc>
          <w:tcPr>
            <w:tcW w:w="140" w:type="dxa"/>
            <w:vAlign w:val="bottom"/>
          </w:tcPr>
          <w:p>
            <w:pPr>
              <w:jc w:val="right"/>
              <w:spacing w:after="0"/>
              <w:rPr>
                <w:sz w:val="20"/>
                <w:szCs w:val="20"/>
                <w:color w:val="auto"/>
              </w:rPr>
            </w:pPr>
            <w:r>
              <w:rPr>
                <w:rFonts w:ascii="Arial" w:cs="Arial" w:eastAsia="Arial" w:hAnsi="Arial"/>
                <w:sz w:val="14"/>
                <w:szCs w:val="14"/>
                <w:color w:val="auto"/>
              </w:rPr>
              <w:t>1</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4</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74"/>
        </w:trPr>
        <w:tc>
          <w:tcPr>
            <w:tcW w:w="2380" w:type="dxa"/>
            <w:vAlign w:val="bottom"/>
          </w:tcPr>
          <w:p>
            <w:pPr>
              <w:spacing w:after="0"/>
              <w:rPr>
                <w:sz w:val="23"/>
                <w:szCs w:val="23"/>
                <w:color w:val="auto"/>
              </w:rPr>
            </w:pPr>
          </w:p>
        </w:tc>
        <w:tc>
          <w:tcPr>
            <w:tcW w:w="20" w:type="dxa"/>
            <w:vAlign w:val="bottom"/>
            <w:tcBorders>
              <w:bottom w:val="single" w:sz="8" w:color="auto"/>
            </w:tcBorders>
          </w:tcPr>
          <w:p>
            <w:pPr>
              <w:spacing w:after="0"/>
              <w:rPr>
                <w:sz w:val="23"/>
                <w:szCs w:val="23"/>
                <w:color w:val="auto"/>
              </w:rPr>
            </w:pPr>
          </w:p>
        </w:tc>
        <w:tc>
          <w:tcPr>
            <w:tcW w:w="1020" w:type="dxa"/>
            <w:vAlign w:val="bottom"/>
            <w:tcBorders>
              <w:bottom w:val="single" w:sz="8" w:color="auto"/>
            </w:tcBorders>
          </w:tcPr>
          <w:p>
            <w:pPr>
              <w:spacing w:after="0"/>
              <w:rPr>
                <w:sz w:val="23"/>
                <w:szCs w:val="23"/>
                <w:color w:val="auto"/>
              </w:rPr>
            </w:pPr>
          </w:p>
        </w:tc>
        <w:tc>
          <w:tcPr>
            <w:tcW w:w="20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940" w:type="dxa"/>
            <w:vAlign w:val="bottom"/>
            <w:tcBorders>
              <w:bottom w:val="single" w:sz="8" w:color="auto"/>
            </w:tcBorders>
          </w:tcPr>
          <w:p>
            <w:pPr>
              <w:spacing w:after="0"/>
              <w:rPr>
                <w:sz w:val="23"/>
                <w:szCs w:val="23"/>
                <w:color w:val="auto"/>
              </w:rPr>
            </w:pPr>
          </w:p>
        </w:tc>
        <w:tc>
          <w:tcPr>
            <w:tcW w:w="26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2680" w:type="dxa"/>
            <w:vAlign w:val="bottom"/>
            <w:tcBorders>
              <w:bottom w:val="single" w:sz="8" w:color="auto"/>
            </w:tcBorders>
            <w:gridSpan w:val="8"/>
          </w:tcPr>
          <w:p>
            <w:pPr>
              <w:ind w:left="440"/>
              <w:spacing w:after="0"/>
              <w:rPr>
                <w:sz w:val="20"/>
                <w:szCs w:val="20"/>
                <w:color w:val="auto"/>
              </w:rPr>
            </w:pPr>
            <w:r>
              <w:rPr>
                <w:rFonts w:ascii="Arial" w:cs="Arial" w:eastAsia="Arial" w:hAnsi="Arial"/>
                <w:sz w:val="13"/>
                <w:szCs w:val="13"/>
                <w:b w:val="1"/>
                <w:bCs w:val="1"/>
                <w:color w:val="auto"/>
              </w:rPr>
              <w:t>Three Months Ended April 30, 2022</w:t>
            </w:r>
          </w:p>
        </w:tc>
        <w:tc>
          <w:tcPr>
            <w:tcW w:w="4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108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540" w:type="dxa"/>
            <w:vAlign w:val="bottom"/>
            <w:tcBorders>
              <w:bottom w:val="single" w:sz="8" w:color="auto"/>
            </w:tcBorders>
          </w:tcPr>
          <w:p>
            <w:pPr>
              <w:spacing w:after="0"/>
              <w:rPr>
                <w:sz w:val="23"/>
                <w:szCs w:val="23"/>
                <w:color w:val="auto"/>
              </w:rPr>
            </w:pPr>
          </w:p>
        </w:tc>
        <w:tc>
          <w:tcPr>
            <w:tcW w:w="720" w:type="dxa"/>
            <w:vAlign w:val="bottom"/>
            <w:tcBorders>
              <w:bottom w:val="single" w:sz="8" w:color="auto"/>
            </w:tcBorders>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21"/>
        </w:trPr>
        <w:tc>
          <w:tcPr>
            <w:tcW w:w="23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20" w:type="dxa"/>
            <w:vAlign w:val="bottom"/>
          </w:tcPr>
          <w:p>
            <w:pPr>
              <w:jc w:val="right"/>
              <w:spacing w:after="0" w:line="121" w:lineRule="exact"/>
              <w:rPr>
                <w:sz w:val="20"/>
                <w:szCs w:val="20"/>
                <w:color w:val="auto"/>
              </w:rPr>
            </w:pPr>
            <w:r>
              <w:rPr>
                <w:rFonts w:ascii="Arial" w:cs="Arial" w:eastAsia="Arial" w:hAnsi="Arial"/>
                <w:sz w:val="13"/>
                <w:szCs w:val="13"/>
                <w:b w:val="1"/>
                <w:bCs w:val="1"/>
                <w:color w:val="auto"/>
              </w:rPr>
              <w:t>Cost of</w:t>
            </w:r>
          </w:p>
        </w:tc>
        <w:tc>
          <w:tcPr>
            <w:tcW w:w="20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8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23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60" w:type="dxa"/>
            <w:vAlign w:val="bottom"/>
            <w:gridSpan w:val="3"/>
          </w:tcPr>
          <w:p>
            <w:pPr>
              <w:ind w:left="80"/>
              <w:spacing w:after="0" w:line="129" w:lineRule="exact"/>
              <w:rPr>
                <w:sz w:val="20"/>
                <w:szCs w:val="20"/>
                <w:color w:val="auto"/>
              </w:rPr>
            </w:pPr>
            <w:r>
              <w:rPr>
                <w:rFonts w:ascii="Arial" w:cs="Arial" w:eastAsia="Arial" w:hAnsi="Arial"/>
                <w:sz w:val="13"/>
                <w:szCs w:val="13"/>
                <w:b w:val="1"/>
                <w:bCs w:val="1"/>
                <w:color w:val="auto"/>
              </w:rPr>
              <w:t>subscription and</w:t>
            </w: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40" w:type="dxa"/>
            <w:vAlign w:val="bottom"/>
            <w:gridSpan w:val="3"/>
            <w:vMerge w:val="restart"/>
          </w:tcPr>
          <w:p>
            <w:pPr>
              <w:ind w:left="360"/>
              <w:spacing w:after="0"/>
              <w:rPr>
                <w:sz w:val="20"/>
                <w:szCs w:val="20"/>
                <w:color w:val="auto"/>
              </w:rPr>
            </w:pPr>
            <w:r>
              <w:rPr>
                <w:rFonts w:ascii="Arial" w:cs="Arial" w:eastAsia="Arial" w:hAnsi="Arial"/>
                <w:sz w:val="13"/>
                <w:szCs w:val="13"/>
                <w:b w:val="1"/>
                <w:bCs w:val="1"/>
                <w:color w:val="auto"/>
              </w:rPr>
              <w:t>Cost of other</w:t>
            </w: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300" w:type="dxa"/>
            <w:vAlign w:val="bottom"/>
            <w:gridSpan w:val="3"/>
            <w:vMerge w:val="restart"/>
          </w:tcPr>
          <w:p>
            <w:pPr>
              <w:ind w:left="340"/>
              <w:spacing w:after="0"/>
              <w:rPr>
                <w:sz w:val="20"/>
                <w:szCs w:val="20"/>
                <w:color w:val="auto"/>
              </w:rPr>
            </w:pPr>
            <w:r>
              <w:rPr>
                <w:rFonts w:ascii="Arial" w:cs="Arial" w:eastAsia="Arial" w:hAnsi="Arial"/>
                <w:sz w:val="13"/>
                <w:szCs w:val="13"/>
                <w:b w:val="1"/>
                <w:bCs w:val="1"/>
                <w:color w:val="auto"/>
              </w:rPr>
              <w:t>Marketing and</w:t>
            </w: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280" w:type="dxa"/>
            <w:vAlign w:val="bottom"/>
            <w:gridSpan w:val="3"/>
            <w:vMerge w:val="restart"/>
          </w:tcPr>
          <w:p>
            <w:pPr>
              <w:ind w:left="340"/>
              <w:spacing w:after="0"/>
              <w:rPr>
                <w:sz w:val="20"/>
                <w:szCs w:val="20"/>
                <w:color w:val="auto"/>
              </w:rPr>
            </w:pPr>
            <w:r>
              <w:rPr>
                <w:rFonts w:ascii="Arial" w:cs="Arial" w:eastAsia="Arial" w:hAnsi="Arial"/>
                <w:sz w:val="13"/>
                <w:szCs w:val="13"/>
                <w:b w:val="1"/>
                <w:bCs w:val="1"/>
                <w:color w:val="auto"/>
              </w:rPr>
              <w:t>Research and</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80" w:type="dxa"/>
            <w:vAlign w:val="bottom"/>
            <w:gridSpan w:val="3"/>
            <w:vMerge w:val="restart"/>
          </w:tcPr>
          <w:p>
            <w:pPr>
              <w:ind w:left="400"/>
              <w:spacing w:after="0"/>
              <w:rPr>
                <w:sz w:val="20"/>
                <w:szCs w:val="20"/>
                <w:color w:val="auto"/>
              </w:rPr>
            </w:pPr>
            <w:r>
              <w:rPr>
                <w:rFonts w:ascii="Arial" w:cs="Arial" w:eastAsia="Arial" w:hAnsi="Arial"/>
                <w:sz w:val="13"/>
                <w:szCs w:val="13"/>
                <w:b w:val="1"/>
                <w:bCs w:val="1"/>
                <w:color w:val="auto"/>
              </w:rPr>
              <w:t>General and</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3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20" w:type="dxa"/>
            <w:vAlign w:val="bottom"/>
          </w:tcPr>
          <w:p>
            <w:pPr>
              <w:jc w:val="right"/>
              <w:spacing w:after="0" w:line="129" w:lineRule="exact"/>
              <w:rPr>
                <w:sz w:val="20"/>
                <w:szCs w:val="20"/>
                <w:color w:val="auto"/>
              </w:rPr>
            </w:pPr>
            <w:r>
              <w:rPr>
                <w:rFonts w:ascii="Arial" w:cs="Arial" w:eastAsia="Arial" w:hAnsi="Arial"/>
                <w:sz w:val="13"/>
                <w:szCs w:val="13"/>
                <w:b w:val="1"/>
                <w:bCs w:val="1"/>
                <w:color w:val="auto"/>
              </w:rPr>
              <w:t>maintenance</w:t>
            </w:r>
          </w:p>
        </w:tc>
        <w:tc>
          <w:tcPr>
            <w:tcW w:w="2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40" w:type="dxa"/>
            <w:vAlign w:val="bottom"/>
            <w:gridSpan w:val="3"/>
            <w:vMerge w:val="continue"/>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30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28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8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720" w:type="dxa"/>
            <w:vAlign w:val="bottom"/>
            <w:vMerge w:val="restart"/>
          </w:tcPr>
          <w:p>
            <w:pPr>
              <w:jc w:val="right"/>
              <w:ind w:right="252"/>
              <w:spacing w:after="0"/>
              <w:rPr>
                <w:sz w:val="20"/>
                <w:szCs w:val="20"/>
                <w:color w:val="auto"/>
              </w:rPr>
            </w:pPr>
            <w:r>
              <w:rPr>
                <w:rFonts w:ascii="Arial" w:cs="Arial" w:eastAsia="Arial" w:hAnsi="Arial"/>
                <w:sz w:val="13"/>
                <w:szCs w:val="13"/>
                <w:b w:val="1"/>
                <w:bCs w:val="1"/>
                <w:color w:val="auto"/>
              </w:rPr>
              <w:t>Total</w:t>
            </w:r>
          </w:p>
        </w:tc>
        <w:tc>
          <w:tcPr>
            <w:tcW w:w="40" w:type="dxa"/>
            <w:vAlign w:val="bottom"/>
            <w:vMerge w:val="restart"/>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2380" w:type="dxa"/>
            <w:vAlign w:val="bottom"/>
            <w:tcBorders>
              <w:bottom w:val="single" w:sz="8" w:color="CCEEFF"/>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ind w:left="360"/>
              <w:spacing w:after="0"/>
              <w:rPr>
                <w:sz w:val="20"/>
                <w:szCs w:val="20"/>
                <w:color w:val="auto"/>
              </w:rPr>
            </w:pPr>
            <w:r>
              <w:rPr>
                <w:rFonts w:ascii="Arial" w:cs="Arial" w:eastAsia="Arial" w:hAnsi="Arial"/>
                <w:sz w:val="13"/>
                <w:szCs w:val="13"/>
                <w:b w:val="1"/>
                <w:bCs w:val="1"/>
                <w:color w:val="auto"/>
              </w:rPr>
              <w:t>revenue</w:t>
            </w:r>
          </w:p>
        </w:tc>
        <w:tc>
          <w:tcPr>
            <w:tcW w:w="200" w:type="dxa"/>
            <w:vAlign w:val="bottom"/>
            <w:tcBorders>
              <w:bottom w:val="single" w:sz="8" w:color="auto"/>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940" w:type="dxa"/>
            <w:vAlign w:val="bottom"/>
            <w:tcBorders>
              <w:bottom w:val="single" w:sz="8" w:color="auto"/>
            </w:tcBorders>
          </w:tcPr>
          <w:p>
            <w:pPr>
              <w:ind w:left="340"/>
              <w:spacing w:after="0"/>
              <w:rPr>
                <w:sz w:val="20"/>
                <w:szCs w:val="20"/>
                <w:color w:val="auto"/>
              </w:rPr>
            </w:pPr>
            <w:r>
              <w:rPr>
                <w:rFonts w:ascii="Arial" w:cs="Arial" w:eastAsia="Arial" w:hAnsi="Arial"/>
                <w:sz w:val="13"/>
                <w:szCs w:val="13"/>
                <w:b w:val="1"/>
                <w:bCs w:val="1"/>
                <w:color w:val="auto"/>
              </w:rPr>
              <w:t>revenue</w:t>
            </w:r>
          </w:p>
        </w:tc>
        <w:tc>
          <w:tcPr>
            <w:tcW w:w="260" w:type="dxa"/>
            <w:vAlign w:val="bottom"/>
            <w:tcBorders>
              <w:bottom w:val="single" w:sz="8" w:color="auto"/>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jc w:val="right"/>
              <w:ind w:right="432"/>
              <w:spacing w:after="0"/>
              <w:rPr>
                <w:sz w:val="20"/>
                <w:szCs w:val="20"/>
                <w:color w:val="auto"/>
              </w:rPr>
            </w:pPr>
            <w:r>
              <w:rPr>
                <w:rFonts w:ascii="Arial" w:cs="Arial" w:eastAsia="Arial" w:hAnsi="Arial"/>
                <w:sz w:val="13"/>
                <w:szCs w:val="13"/>
                <w:b w:val="1"/>
                <w:bCs w:val="1"/>
                <w:color w:val="auto"/>
                <w:w w:val="92"/>
              </w:rPr>
              <w:t>sales</w:t>
            </w:r>
          </w:p>
        </w:tc>
        <w:tc>
          <w:tcPr>
            <w:tcW w:w="4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1060" w:type="dxa"/>
            <w:vAlign w:val="bottom"/>
            <w:tcBorders>
              <w:bottom w:val="single" w:sz="8" w:color="auto"/>
            </w:tcBorders>
          </w:tcPr>
          <w:p>
            <w:pPr>
              <w:ind w:left="180"/>
              <w:spacing w:after="0"/>
              <w:rPr>
                <w:sz w:val="20"/>
                <w:szCs w:val="20"/>
                <w:color w:val="auto"/>
              </w:rPr>
            </w:pPr>
            <w:r>
              <w:rPr>
                <w:rFonts w:ascii="Arial" w:cs="Arial" w:eastAsia="Arial" w:hAnsi="Arial"/>
                <w:sz w:val="13"/>
                <w:szCs w:val="13"/>
                <w:b w:val="1"/>
                <w:bCs w:val="1"/>
                <w:color w:val="auto"/>
              </w:rPr>
              <w:t>development</w:t>
            </w:r>
          </w:p>
        </w:tc>
        <w:tc>
          <w:tcPr>
            <w:tcW w:w="160" w:type="dxa"/>
            <w:vAlign w:val="bottom"/>
            <w:tcBorders>
              <w:bottom w:val="single" w:sz="8" w:color="auto"/>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administrative</w:t>
            </w:r>
          </w:p>
        </w:tc>
        <w:tc>
          <w:tcPr>
            <w:tcW w:w="140" w:type="dxa"/>
            <w:vAlign w:val="bottom"/>
            <w:tcBorders>
              <w:bottom w:val="single" w:sz="8" w:color="auto"/>
            </w:tcBorders>
          </w:tcPr>
          <w:p>
            <w:pPr>
              <w:spacing w:after="0"/>
              <w:rPr>
                <w:sz w:val="15"/>
                <w:szCs w:val="15"/>
                <w:color w:val="auto"/>
              </w:rPr>
            </w:pPr>
          </w:p>
        </w:tc>
        <w:tc>
          <w:tcPr>
            <w:tcW w:w="60" w:type="dxa"/>
            <w:vAlign w:val="bottom"/>
            <w:tcBorders>
              <w:bottom w:val="single" w:sz="8" w:color="CCEEFF"/>
            </w:tcBorders>
          </w:tcPr>
          <w:p>
            <w:pPr>
              <w:spacing w:after="0"/>
              <w:rPr>
                <w:sz w:val="15"/>
                <w:szCs w:val="15"/>
                <w:color w:val="auto"/>
              </w:rPr>
            </w:pPr>
          </w:p>
        </w:tc>
        <w:tc>
          <w:tcPr>
            <w:tcW w:w="40" w:type="dxa"/>
            <w:vAlign w:val="bottom"/>
            <w:tcBorders>
              <w:bottom w:val="single" w:sz="8" w:color="CCEEFF"/>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vMerge w:val="continue"/>
          </w:tcPr>
          <w:p>
            <w:pPr>
              <w:spacing w:after="0"/>
              <w:rPr>
                <w:sz w:val="15"/>
                <w:szCs w:val="15"/>
                <w:color w:val="auto"/>
              </w:rPr>
            </w:pPr>
          </w:p>
        </w:tc>
        <w:tc>
          <w:tcPr>
            <w:tcW w:w="4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400" w:type="dxa"/>
            <w:vAlign w:val="bottom"/>
            <w:gridSpan w:val="2"/>
            <w:shd w:val="clear" w:color="auto" w:fill="CCEEFF"/>
          </w:tcPr>
          <w:p>
            <w:pPr>
              <w:ind w:left="360"/>
              <w:spacing w:after="0"/>
              <w:rPr>
                <w:sz w:val="20"/>
                <w:szCs w:val="20"/>
                <w:color w:val="auto"/>
              </w:rPr>
            </w:pPr>
            <w:r>
              <w:rPr>
                <w:rFonts w:ascii="Arial" w:cs="Arial" w:eastAsia="Arial" w:hAnsi="Arial"/>
                <w:sz w:val="14"/>
                <w:szCs w:val="14"/>
                <w:color w:val="auto"/>
              </w:rPr>
              <w:t>Operating lease cost</w:t>
            </w:r>
          </w:p>
        </w:tc>
        <w:tc>
          <w:tcPr>
            <w:tcW w:w="1020" w:type="dxa"/>
            <w:vAlign w:val="bottom"/>
            <w:shd w:val="clear" w:color="auto" w:fill="CCEEFF"/>
          </w:tcPr>
          <w:p>
            <w:pPr>
              <w:ind w:left="340"/>
              <w:spacing w:after="0"/>
              <w:rPr>
                <w:sz w:val="20"/>
                <w:szCs w:val="20"/>
                <w:color w:val="auto"/>
              </w:rPr>
            </w:pPr>
            <w:r>
              <w:rPr>
                <w:rFonts w:ascii="Arial" w:cs="Arial" w:eastAsia="Arial" w:hAnsi="Arial"/>
                <w:sz w:val="14"/>
                <w:szCs w:val="14"/>
                <w:color w:val="auto"/>
              </w:rPr>
              <w:t>$</w:t>
            </w:r>
          </w:p>
        </w:tc>
        <w:tc>
          <w:tcPr>
            <w:tcW w:w="2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40" w:type="dxa"/>
            <w:vAlign w:val="bottom"/>
            <w:shd w:val="clear" w:color="auto" w:fill="CCEEFF"/>
          </w:tcPr>
          <w:p>
            <w:pPr>
              <w:spacing w:after="0"/>
              <w:rPr>
                <w:sz w:val="15"/>
                <w:szCs w:val="15"/>
                <w:color w:val="auto"/>
              </w:rPr>
            </w:pPr>
          </w:p>
        </w:tc>
        <w:tc>
          <w:tcPr>
            <w:tcW w:w="1040" w:type="dxa"/>
            <w:vAlign w:val="bottom"/>
            <w:gridSpan w:val="3"/>
            <w:shd w:val="clear" w:color="auto" w:fill="CCEEFF"/>
          </w:tcPr>
          <w:p>
            <w:pPr>
              <w:ind w:left="420"/>
              <w:spacing w:after="0"/>
              <w:rPr>
                <w:sz w:val="20"/>
                <w:szCs w:val="20"/>
                <w:color w:val="auto"/>
              </w:rPr>
            </w:pPr>
            <w:r>
              <w:rPr>
                <w:rFonts w:ascii="Arial" w:cs="Arial" w:eastAsia="Arial" w:hAnsi="Arial"/>
                <w:sz w:val="14"/>
                <w:szCs w:val="14"/>
                <w:color w:val="auto"/>
              </w:rPr>
              <w:t>$</w:t>
            </w:r>
          </w:p>
        </w:tc>
        <w:tc>
          <w:tcPr>
            <w:tcW w:w="2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40" w:type="dxa"/>
            <w:vAlign w:val="bottom"/>
            <w:shd w:val="clear" w:color="auto" w:fill="CCEEFF"/>
          </w:tcPr>
          <w:p>
            <w:pPr>
              <w:spacing w:after="0"/>
              <w:rPr>
                <w:sz w:val="15"/>
                <w:szCs w:val="15"/>
                <w:color w:val="auto"/>
              </w:rPr>
            </w:pPr>
          </w:p>
        </w:tc>
        <w:tc>
          <w:tcPr>
            <w:tcW w:w="540" w:type="dxa"/>
            <w:vAlign w:val="bottom"/>
            <w:gridSpan w:val="3"/>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2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10</w:t>
            </w:r>
          </w:p>
        </w:tc>
        <w:tc>
          <w:tcPr>
            <w:tcW w:w="40" w:type="dxa"/>
            <w:vAlign w:val="bottom"/>
            <w:shd w:val="clear" w:color="auto" w:fill="CCEEFF"/>
          </w:tcPr>
          <w:p>
            <w:pPr>
              <w:spacing w:after="0"/>
              <w:rPr>
                <w:sz w:val="15"/>
                <w:szCs w:val="15"/>
                <w:color w:val="auto"/>
              </w:rPr>
            </w:pPr>
          </w:p>
        </w:tc>
        <w:tc>
          <w:tcPr>
            <w:tcW w:w="1160" w:type="dxa"/>
            <w:vAlign w:val="bottom"/>
            <w:gridSpan w:val="3"/>
            <w:shd w:val="clear" w:color="auto" w:fill="CCEEFF"/>
          </w:tcPr>
          <w:p>
            <w:pPr>
              <w:jc w:val="right"/>
              <w:ind w:right="616"/>
              <w:spacing w:after="0"/>
              <w:rPr>
                <w:sz w:val="20"/>
                <w:szCs w:val="20"/>
                <w:color w:val="auto"/>
              </w:rPr>
            </w:pPr>
            <w:r>
              <w:rPr>
                <w:rFonts w:ascii="Arial" w:cs="Arial" w:eastAsia="Arial" w:hAnsi="Arial"/>
                <w:sz w:val="14"/>
                <w:szCs w:val="14"/>
                <w:color w:val="auto"/>
              </w:rPr>
              <w:t>$</w:t>
            </w:r>
          </w:p>
        </w:tc>
        <w:tc>
          <w:tcPr>
            <w:tcW w:w="16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w w:val="76"/>
              </w:rPr>
              <w:t>7</w:t>
            </w:r>
          </w:p>
        </w:tc>
        <w:tc>
          <w:tcPr>
            <w:tcW w:w="60" w:type="dxa"/>
            <w:vAlign w:val="bottom"/>
            <w:shd w:val="clear" w:color="auto" w:fill="CCEEFF"/>
          </w:tcPr>
          <w:p>
            <w:pPr>
              <w:spacing w:after="0"/>
              <w:rPr>
                <w:sz w:val="15"/>
                <w:szCs w:val="15"/>
                <w:color w:val="auto"/>
              </w:rPr>
            </w:pPr>
          </w:p>
        </w:tc>
        <w:tc>
          <w:tcPr>
            <w:tcW w:w="1160" w:type="dxa"/>
            <w:vAlign w:val="bottom"/>
            <w:gridSpan w:val="3"/>
            <w:shd w:val="clear" w:color="auto" w:fill="CCEEFF"/>
          </w:tcPr>
          <w:p>
            <w:pPr>
              <w:jc w:val="right"/>
              <w:ind w:right="616"/>
              <w:spacing w:after="0"/>
              <w:rPr>
                <w:sz w:val="20"/>
                <w:szCs w:val="20"/>
                <w:color w:val="auto"/>
              </w:rPr>
            </w:pPr>
            <w:r>
              <w:rPr>
                <w:rFonts w:ascii="Arial" w:cs="Arial" w:eastAsia="Arial" w:hAnsi="Arial"/>
                <w:sz w:val="14"/>
                <w:szCs w:val="14"/>
                <w:color w:val="auto"/>
              </w:rPr>
              <w:t>$</w:t>
            </w: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3</w:t>
            </w:r>
          </w:p>
        </w:tc>
        <w:tc>
          <w:tcPr>
            <w:tcW w:w="60" w:type="dxa"/>
            <w:vAlign w:val="bottom"/>
            <w:shd w:val="clear" w:color="auto" w:fill="CCEEFF"/>
          </w:tcPr>
          <w:p>
            <w:pPr>
              <w:spacing w:after="0"/>
              <w:rPr>
                <w:sz w:val="15"/>
                <w:szCs w:val="15"/>
                <w:color w:val="auto"/>
              </w:rPr>
            </w:pPr>
          </w:p>
        </w:tc>
        <w:tc>
          <w:tcPr>
            <w:tcW w:w="620" w:type="dxa"/>
            <w:vAlign w:val="bottom"/>
            <w:gridSpan w:val="3"/>
            <w:shd w:val="clear" w:color="auto" w:fill="CCEEFF"/>
          </w:tcPr>
          <w:p>
            <w:pPr>
              <w:jc w:val="right"/>
              <w:ind w:right="140"/>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23</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83"/>
        </w:trPr>
        <w:tc>
          <w:tcPr>
            <w:tcW w:w="2400" w:type="dxa"/>
            <w:vAlign w:val="bottom"/>
            <w:gridSpan w:val="2"/>
          </w:tcPr>
          <w:p>
            <w:pPr>
              <w:ind w:left="360"/>
              <w:spacing w:after="0"/>
              <w:rPr>
                <w:sz w:val="20"/>
                <w:szCs w:val="20"/>
                <w:color w:val="auto"/>
              </w:rPr>
            </w:pPr>
            <w:r>
              <w:rPr>
                <w:rFonts w:ascii="Arial" w:cs="Arial" w:eastAsia="Arial" w:hAnsi="Arial"/>
                <w:sz w:val="14"/>
                <w:szCs w:val="14"/>
                <w:color w:val="auto"/>
              </w:rPr>
              <w:t>Variable lease cost</w:t>
            </w:r>
          </w:p>
        </w:tc>
        <w:tc>
          <w:tcPr>
            <w:tcW w:w="1020" w:type="dxa"/>
            <w:vAlign w:val="bottom"/>
          </w:tcPr>
          <w:p>
            <w:pPr>
              <w:spacing w:after="0"/>
              <w:rPr>
                <w:sz w:val="15"/>
                <w:szCs w:val="15"/>
                <w:color w:val="auto"/>
              </w:rPr>
            </w:pPr>
          </w:p>
        </w:tc>
        <w:tc>
          <w:tcPr>
            <w:tcW w:w="240" w:type="dxa"/>
            <w:vAlign w:val="bottom"/>
            <w:gridSpan w:val="2"/>
          </w:tcPr>
          <w:p>
            <w:pPr>
              <w:jc w:val="right"/>
              <w:ind w:right="100"/>
              <w:spacing w:after="0"/>
              <w:rPr>
                <w:sz w:val="20"/>
                <w:szCs w:val="20"/>
                <w:color w:val="auto"/>
              </w:rPr>
            </w:pPr>
            <w:r>
              <w:rPr>
                <w:rFonts w:ascii="Arial" w:cs="Arial" w:eastAsia="Arial" w:hAnsi="Arial"/>
                <w:sz w:val="14"/>
                <w:szCs w:val="14"/>
                <w:color w:val="auto"/>
                <w:w w:val="85"/>
              </w:rPr>
              <w:t>—</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300" w:type="dxa"/>
            <w:vAlign w:val="bottom"/>
            <w:gridSpan w:val="2"/>
          </w:tcPr>
          <w:p>
            <w:pPr>
              <w:jc w:val="right"/>
              <w:ind w:right="100"/>
              <w:spacing w:after="0"/>
              <w:rPr>
                <w:sz w:val="20"/>
                <w:szCs w:val="20"/>
                <w:color w:val="auto"/>
              </w:rPr>
            </w:pPr>
            <w:r>
              <w:rPr>
                <w:rFonts w:ascii="Arial" w:cs="Arial" w:eastAsia="Arial" w:hAnsi="Arial"/>
                <w:sz w:val="14"/>
                <w:szCs w:val="14"/>
                <w:color w:val="auto"/>
              </w:rPr>
              <w:t>—</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20" w:type="dxa"/>
            <w:vAlign w:val="bottom"/>
          </w:tcPr>
          <w:p>
            <w:pPr>
              <w:jc w:val="right"/>
              <w:spacing w:after="0"/>
              <w:rPr>
                <w:sz w:val="20"/>
                <w:szCs w:val="20"/>
                <w:color w:val="auto"/>
              </w:rPr>
            </w:pPr>
            <w:r>
              <w:rPr>
                <w:rFonts w:ascii="Arial" w:cs="Arial" w:eastAsia="Arial" w:hAnsi="Arial"/>
                <w:sz w:val="14"/>
                <w:szCs w:val="14"/>
                <w:color w:val="auto"/>
              </w:rPr>
              <w:t>2</w:t>
            </w: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60" w:type="dxa"/>
            <w:vAlign w:val="bottom"/>
          </w:tcPr>
          <w:p>
            <w:pPr>
              <w:spacing w:after="0"/>
              <w:rPr>
                <w:sz w:val="15"/>
                <w:szCs w:val="15"/>
                <w:color w:val="auto"/>
              </w:rPr>
            </w:pPr>
          </w:p>
        </w:tc>
        <w:tc>
          <w:tcPr>
            <w:tcW w:w="160" w:type="dxa"/>
            <w:vAlign w:val="bottom"/>
          </w:tcPr>
          <w:p>
            <w:pPr>
              <w:jc w:val="right"/>
              <w:ind w:right="10"/>
              <w:spacing w:after="0"/>
              <w:rPr>
                <w:sz w:val="20"/>
                <w:szCs w:val="20"/>
                <w:color w:val="auto"/>
              </w:rPr>
            </w:pPr>
            <w:r>
              <w:rPr>
                <w:rFonts w:ascii="Arial" w:cs="Arial" w:eastAsia="Arial" w:hAnsi="Arial"/>
                <w:sz w:val="14"/>
                <w:szCs w:val="14"/>
                <w:color w:val="auto"/>
                <w:w w:val="76"/>
              </w:rPr>
              <w:t>2</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080" w:type="dxa"/>
            <w:vAlign w:val="bottom"/>
          </w:tcPr>
          <w:p>
            <w:pPr>
              <w:spacing w:after="0"/>
              <w:rPr>
                <w:sz w:val="15"/>
                <w:szCs w:val="15"/>
                <w:color w:val="auto"/>
              </w:rPr>
            </w:pPr>
          </w:p>
        </w:tc>
        <w:tc>
          <w:tcPr>
            <w:tcW w:w="140" w:type="dxa"/>
            <w:vAlign w:val="bottom"/>
          </w:tcPr>
          <w:p>
            <w:pPr>
              <w:jc w:val="right"/>
              <w:spacing w:after="0"/>
              <w:rPr>
                <w:sz w:val="20"/>
                <w:szCs w:val="20"/>
                <w:color w:val="auto"/>
              </w:rPr>
            </w:pPr>
            <w:r>
              <w:rPr>
                <w:rFonts w:ascii="Arial" w:cs="Arial" w:eastAsia="Arial" w:hAnsi="Arial"/>
                <w:sz w:val="14"/>
                <w:szCs w:val="14"/>
                <w:color w:val="auto"/>
                <w:w w:val="76"/>
              </w:rPr>
              <w:t>1</w:t>
            </w: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5</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60"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310" w:right="660" w:bottom="1440" w:gutter="0" w:footer="0" w:header="0"/>
        </w:sectPr>
      </w:pPr>
    </w:p>
    <w:bookmarkStart w:id="22" w:name="page23"/>
    <w:bookmarkEnd w:id="22"/>
    <w:p>
      <w:pPr>
        <w:ind w:left="360"/>
        <w:spacing w:after="0"/>
        <w:rPr>
          <w:sz w:val="20"/>
          <w:szCs w:val="20"/>
          <w:color w:val="auto"/>
        </w:rPr>
      </w:pPr>
      <w:r>
        <w:rPr>
          <w:rFonts w:ascii="Arial" w:cs="Arial" w:eastAsia="Arial" w:hAnsi="Arial"/>
          <w:sz w:val="15"/>
          <w:szCs w:val="15"/>
          <w:color w:val="auto"/>
        </w:rPr>
        <w:t>Supplemental operating cash flow information related to leases is as follows:</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860" w:type="dxa"/>
            <w:vAlign w:val="bottom"/>
          </w:tcPr>
          <w:p>
            <w:pPr>
              <w:spacing w:after="0"/>
              <w:rPr>
                <w:sz w:val="15"/>
                <w:szCs w:val="15"/>
                <w:color w:val="auto"/>
              </w:rPr>
            </w:pPr>
          </w:p>
        </w:tc>
        <w:tc>
          <w:tcPr>
            <w:tcW w:w="2360" w:type="dxa"/>
            <w:vAlign w:val="bottom"/>
            <w:tcBorders>
              <w:bottom w:val="single" w:sz="8" w:color="auto"/>
            </w:tcBorders>
            <w:gridSpan w:val="4"/>
          </w:tcPr>
          <w:p>
            <w:pPr>
              <w:jc w:val="right"/>
              <w:ind w:right="56"/>
              <w:spacing w:after="0"/>
              <w:rPr>
                <w:sz w:val="20"/>
                <w:szCs w:val="20"/>
                <w:color w:val="auto"/>
              </w:rPr>
            </w:pPr>
            <w:r>
              <w:rPr>
                <w:rFonts w:ascii="Arial" w:cs="Arial" w:eastAsia="Arial" w:hAnsi="Arial"/>
                <w:sz w:val="13"/>
                <w:szCs w:val="13"/>
                <w:b w:val="1"/>
                <w:bCs w:val="1"/>
                <w:color w:val="auto"/>
              </w:rPr>
              <w:t>Three Months Ended April 30,</w:t>
            </w:r>
          </w:p>
        </w:tc>
        <w:tc>
          <w:tcPr>
            <w:tcW w:w="320" w:type="dxa"/>
            <w:vAlign w:val="bottom"/>
            <w:tcBorders>
              <w:bottom w:val="single" w:sz="8" w:color="auto"/>
            </w:tcBorders>
          </w:tcPr>
          <w:p>
            <w:pPr>
              <w:spacing w:after="0"/>
              <w:rPr>
                <w:sz w:val="15"/>
                <w:szCs w:val="15"/>
                <w:color w:val="auto"/>
              </w:rPr>
            </w:pPr>
          </w:p>
        </w:tc>
      </w:tr>
      <w:tr>
        <w:trPr>
          <w:trHeight w:val="167"/>
        </w:trPr>
        <w:tc>
          <w:tcPr>
            <w:tcW w:w="7860" w:type="dxa"/>
            <w:vAlign w:val="bottom"/>
            <w:tcBorders>
              <w:bottom w:val="single" w:sz="8" w:color="CCEEFF"/>
            </w:tcBorders>
          </w:tcPr>
          <w:p>
            <w:pPr>
              <w:spacing w:after="0"/>
              <w:rPr>
                <w:sz w:val="14"/>
                <w:szCs w:val="14"/>
                <w:color w:val="auto"/>
              </w:rPr>
            </w:pPr>
          </w:p>
        </w:tc>
        <w:tc>
          <w:tcPr>
            <w:tcW w:w="920" w:type="dxa"/>
            <w:vAlign w:val="bottom"/>
            <w:tcBorders>
              <w:bottom w:val="single" w:sz="8" w:color="auto"/>
            </w:tcBorders>
          </w:tcPr>
          <w:p>
            <w:pPr>
              <w:jc w:val="right"/>
              <w:ind w:right="74"/>
              <w:spacing w:after="0"/>
              <w:rPr>
                <w:sz w:val="20"/>
                <w:szCs w:val="20"/>
                <w:color w:val="auto"/>
              </w:rPr>
            </w:pPr>
            <w:r>
              <w:rPr>
                <w:rFonts w:ascii="Arial" w:cs="Arial" w:eastAsia="Arial" w:hAnsi="Arial"/>
                <w:sz w:val="13"/>
                <w:szCs w:val="13"/>
                <w:b w:val="1"/>
                <w:bCs w:val="1"/>
                <w:color w:val="auto"/>
              </w:rPr>
              <w:t>2023</w:t>
            </w:r>
          </w:p>
        </w:tc>
        <w:tc>
          <w:tcPr>
            <w:tcW w:w="380" w:type="dxa"/>
            <w:vAlign w:val="bottom"/>
            <w:tcBorders>
              <w:bottom w:val="single" w:sz="8" w:color="auto"/>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980" w:type="dxa"/>
            <w:vAlign w:val="bottom"/>
            <w:tcBorders>
              <w:bottom w:val="single" w:sz="8" w:color="auto"/>
            </w:tcBorders>
          </w:tcPr>
          <w:p>
            <w:pPr>
              <w:jc w:val="right"/>
              <w:ind w:right="116"/>
              <w:spacing w:after="0"/>
              <w:rPr>
                <w:sz w:val="20"/>
                <w:szCs w:val="20"/>
                <w:color w:val="auto"/>
              </w:rPr>
            </w:pPr>
            <w:r>
              <w:rPr>
                <w:rFonts w:ascii="Arial" w:cs="Arial" w:eastAsia="Arial" w:hAnsi="Arial"/>
                <w:sz w:val="13"/>
                <w:szCs w:val="13"/>
                <w:b w:val="1"/>
                <w:bCs w:val="1"/>
                <w:color w:val="auto"/>
              </w:rPr>
              <w:t>2022</w:t>
            </w:r>
          </w:p>
        </w:tc>
        <w:tc>
          <w:tcPr>
            <w:tcW w:w="320" w:type="dxa"/>
            <w:vAlign w:val="bottom"/>
            <w:tcBorders>
              <w:bottom w:val="single" w:sz="8" w:color="auto"/>
            </w:tcBorders>
          </w:tcPr>
          <w:p>
            <w:pPr>
              <w:spacing w:after="0"/>
              <w:rPr>
                <w:sz w:val="14"/>
                <w:szCs w:val="14"/>
                <w:color w:val="auto"/>
              </w:rPr>
            </w:pPr>
          </w:p>
        </w:tc>
      </w:tr>
      <w:tr>
        <w:trPr>
          <w:trHeight w:val="179"/>
        </w:trPr>
        <w:tc>
          <w:tcPr>
            <w:tcW w:w="7860" w:type="dxa"/>
            <w:vAlign w:val="bottom"/>
            <w:shd w:val="clear" w:color="auto" w:fill="CCEEFF"/>
          </w:tcPr>
          <w:p>
            <w:pPr>
              <w:ind w:left="20"/>
              <w:spacing w:after="0"/>
              <w:rPr>
                <w:sz w:val="20"/>
                <w:szCs w:val="20"/>
                <w:color w:val="auto"/>
              </w:rPr>
            </w:pPr>
            <w:r>
              <w:rPr>
                <w:rFonts w:ascii="Arial" w:cs="Arial" w:eastAsia="Arial" w:hAnsi="Arial"/>
                <w:sz w:val="14"/>
                <w:szCs w:val="14"/>
                <w:color w:val="auto"/>
              </w:rPr>
              <w:t>Cash paid for operating leases included in operating cash flows (1)</w:t>
            </w:r>
          </w:p>
        </w:tc>
        <w:tc>
          <w:tcPr>
            <w:tcW w:w="920" w:type="dxa"/>
            <w:vAlign w:val="bottom"/>
            <w:shd w:val="clear" w:color="auto" w:fill="CCEEFF"/>
          </w:tcPr>
          <w:p>
            <w:pPr>
              <w:jc w:val="right"/>
              <w:ind w:right="774"/>
              <w:spacing w:after="0"/>
              <w:rPr>
                <w:sz w:val="20"/>
                <w:szCs w:val="20"/>
                <w:color w:val="auto"/>
              </w:rPr>
            </w:pPr>
            <w:r>
              <w:rPr>
                <w:rFonts w:ascii="Arial" w:cs="Arial" w:eastAsia="Arial" w:hAnsi="Arial"/>
                <w:sz w:val="14"/>
                <w:szCs w:val="14"/>
                <w:color w:val="auto"/>
                <w:w w:val="76"/>
              </w:rPr>
              <w:t>$</w:t>
            </w:r>
          </w:p>
        </w:tc>
        <w:tc>
          <w:tcPr>
            <w:tcW w:w="3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28</w:t>
            </w:r>
          </w:p>
        </w:tc>
        <w:tc>
          <w:tcPr>
            <w:tcW w:w="1060" w:type="dxa"/>
            <w:vAlign w:val="bottom"/>
            <w:gridSpan w:val="2"/>
            <w:shd w:val="clear" w:color="auto" w:fill="CCEEFF"/>
          </w:tcPr>
          <w:p>
            <w:pPr>
              <w:jc w:val="right"/>
              <w:ind w:right="816"/>
              <w:spacing w:after="0"/>
              <w:rPr>
                <w:sz w:val="20"/>
                <w:szCs w:val="20"/>
                <w:color w:val="auto"/>
              </w:rPr>
            </w:pPr>
            <w:r>
              <w:rPr>
                <w:rFonts w:ascii="Arial" w:cs="Arial" w:eastAsia="Arial" w:hAnsi="Arial"/>
                <w:sz w:val="14"/>
                <w:szCs w:val="14"/>
                <w:color w:val="auto"/>
              </w:rPr>
              <w:t>$</w:t>
            </w:r>
          </w:p>
        </w:tc>
        <w:tc>
          <w:tcPr>
            <w:tcW w:w="3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34</w:t>
            </w:r>
          </w:p>
        </w:tc>
      </w:tr>
      <w:tr>
        <w:trPr>
          <w:trHeight w:val="183"/>
        </w:trPr>
        <w:tc>
          <w:tcPr>
            <w:tcW w:w="7860" w:type="dxa"/>
            <w:vAlign w:val="bottom"/>
          </w:tcPr>
          <w:p>
            <w:pPr>
              <w:ind w:left="20"/>
              <w:spacing w:after="0"/>
              <w:rPr>
                <w:sz w:val="20"/>
                <w:szCs w:val="20"/>
                <w:color w:val="auto"/>
              </w:rPr>
            </w:pPr>
            <w:r>
              <w:rPr>
                <w:rFonts w:ascii="Arial" w:cs="Arial" w:eastAsia="Arial" w:hAnsi="Arial"/>
                <w:sz w:val="14"/>
                <w:szCs w:val="14"/>
                <w:color w:val="auto"/>
              </w:rPr>
              <w:t>Non-cash operating lease liabilities arising from obtaining operating lease right-of-use assets</w:t>
            </w:r>
          </w:p>
        </w:tc>
        <w:tc>
          <w:tcPr>
            <w:tcW w:w="920" w:type="dxa"/>
            <w:vAlign w:val="bottom"/>
          </w:tcPr>
          <w:p>
            <w:pPr>
              <w:spacing w:after="0"/>
              <w:rPr>
                <w:sz w:val="15"/>
                <w:szCs w:val="15"/>
                <w:color w:val="auto"/>
              </w:rPr>
            </w:pPr>
          </w:p>
        </w:tc>
        <w:tc>
          <w:tcPr>
            <w:tcW w:w="380" w:type="dxa"/>
            <w:vAlign w:val="bottom"/>
          </w:tcPr>
          <w:p>
            <w:pPr>
              <w:jc w:val="right"/>
              <w:ind w:right="10"/>
              <w:spacing w:after="0"/>
              <w:rPr>
                <w:sz w:val="20"/>
                <w:szCs w:val="20"/>
                <w:color w:val="auto"/>
              </w:rPr>
            </w:pPr>
            <w:r>
              <w:rPr>
                <w:rFonts w:ascii="Arial" w:cs="Arial" w:eastAsia="Arial" w:hAnsi="Arial"/>
                <w:sz w:val="14"/>
                <w:szCs w:val="14"/>
                <w:color w:val="auto"/>
              </w:rPr>
              <w:t>38</w:t>
            </w:r>
          </w:p>
        </w:tc>
        <w:tc>
          <w:tcPr>
            <w:tcW w:w="80" w:type="dxa"/>
            <w:vAlign w:val="bottom"/>
          </w:tcPr>
          <w:p>
            <w:pPr>
              <w:spacing w:after="0"/>
              <w:rPr>
                <w:sz w:val="15"/>
                <w:szCs w:val="15"/>
                <w:color w:val="auto"/>
              </w:rPr>
            </w:pPr>
          </w:p>
        </w:tc>
        <w:tc>
          <w:tcPr>
            <w:tcW w:w="980" w:type="dxa"/>
            <w:vAlign w:val="bottom"/>
          </w:tcPr>
          <w:p>
            <w:pPr>
              <w:spacing w:after="0"/>
              <w:rPr>
                <w:sz w:val="15"/>
                <w:szCs w:val="15"/>
                <w:color w:val="auto"/>
              </w:rPr>
            </w:pPr>
          </w:p>
        </w:tc>
        <w:tc>
          <w:tcPr>
            <w:tcW w:w="320" w:type="dxa"/>
            <w:vAlign w:val="bottom"/>
          </w:tcPr>
          <w:p>
            <w:pPr>
              <w:jc w:val="right"/>
              <w:spacing w:after="0"/>
              <w:rPr>
                <w:sz w:val="20"/>
                <w:szCs w:val="20"/>
                <w:color w:val="auto"/>
              </w:rPr>
            </w:pPr>
            <w:r>
              <w:rPr>
                <w:rFonts w:ascii="Arial" w:cs="Arial" w:eastAsia="Arial" w:hAnsi="Arial"/>
                <w:sz w:val="14"/>
                <w:szCs w:val="14"/>
                <w:color w:val="auto"/>
              </w:rPr>
              <w:t>23</w:t>
            </w:r>
          </w:p>
        </w:tc>
      </w:tr>
    </w:tbl>
    <w:p>
      <w:pPr>
        <w:spacing w:after="0" w:line="68" w:lineRule="exact"/>
        <w:rPr>
          <w:sz w:val="20"/>
          <w:szCs w:val="20"/>
          <w:color w:val="auto"/>
        </w:rPr>
      </w:pPr>
    </w:p>
    <w:p>
      <w:pPr>
        <w:ind w:left="80"/>
        <w:spacing w:after="0"/>
        <w:rPr>
          <w:sz w:val="20"/>
          <w:szCs w:val="20"/>
          <w:color w:val="auto"/>
        </w:rPr>
      </w:pPr>
      <w:r>
        <w:rPr>
          <w:rFonts w:ascii="Arial" w:cs="Arial" w:eastAsia="Arial" w:hAnsi="Arial"/>
          <w:sz w:val="15"/>
          <w:szCs w:val="15"/>
          <w:color w:val="auto"/>
        </w:rPr>
        <w:t>_______________</w:t>
      </w:r>
    </w:p>
    <w:p>
      <w:pPr>
        <w:spacing w:after="0" w:line="12" w:lineRule="exact"/>
        <w:rPr>
          <w:sz w:val="20"/>
          <w:szCs w:val="20"/>
          <w:color w:val="auto"/>
        </w:rPr>
      </w:pPr>
    </w:p>
    <w:p>
      <w:pPr>
        <w:ind w:right="440" w:firstLine="4"/>
        <w:spacing w:after="0" w:line="256" w:lineRule="auto"/>
        <w:tabs>
          <w:tab w:leader="none" w:pos="211" w:val="left"/>
        </w:tabs>
        <w:numPr>
          <w:ilvl w:val="0"/>
          <w:numId w:val="12"/>
        </w:numPr>
        <w:rPr>
          <w:rFonts w:ascii="Arial" w:cs="Arial" w:eastAsia="Arial" w:hAnsi="Arial"/>
          <w:sz w:val="14"/>
          <w:szCs w:val="14"/>
          <w:color w:val="auto"/>
        </w:rPr>
      </w:pPr>
      <w:r>
        <w:rPr>
          <w:rFonts w:ascii="Arial" w:cs="Arial" w:eastAsia="Arial" w:hAnsi="Arial"/>
          <w:sz w:val="14"/>
          <w:szCs w:val="14"/>
          <w:color w:val="auto"/>
        </w:rPr>
        <w:t>Includes $4 million and $5 million in variable lease payments for the three months ended April 30, 2023 and 2022, respectively, not included in “Operating lease liabilities” and “Long-term operating lease liabilities” on the Condensed Consolidated Balance Sheets.</w:t>
      </w:r>
    </w:p>
    <w:p>
      <w:pPr>
        <w:spacing w:after="0" w:line="198" w:lineRule="exact"/>
        <w:rPr>
          <w:sz w:val="20"/>
          <w:szCs w:val="20"/>
          <w:color w:val="auto"/>
        </w:rPr>
      </w:pPr>
    </w:p>
    <w:p>
      <w:pPr>
        <w:ind w:right="140" w:firstLine="351"/>
        <w:spacing w:after="0" w:line="271" w:lineRule="auto"/>
        <w:rPr>
          <w:sz w:val="20"/>
          <w:szCs w:val="20"/>
          <w:color w:val="auto"/>
        </w:rPr>
      </w:pPr>
      <w:r>
        <w:rPr>
          <w:rFonts w:ascii="Arial" w:cs="Arial" w:eastAsia="Arial" w:hAnsi="Arial"/>
          <w:sz w:val="15"/>
          <w:szCs w:val="15"/>
          <w:color w:val="auto"/>
        </w:rPr>
        <w:t>The weighted average remaining lease term for operating leases is 6.4 years and 6.5 years at April 30, 2023, and January 31, 2023, respectively. The weighted average discount rate was 2.80% and 2.60% at April 30, 2023, and January 31, 2023, respectively.</w:t>
      </w:r>
    </w:p>
    <w:p>
      <w:pPr>
        <w:spacing w:after="0" w:line="185" w:lineRule="exact"/>
        <w:rPr>
          <w:sz w:val="20"/>
          <w:szCs w:val="20"/>
          <w:color w:val="auto"/>
        </w:rPr>
      </w:pPr>
    </w:p>
    <w:p>
      <w:pPr>
        <w:ind w:left="360"/>
        <w:spacing w:after="0"/>
        <w:rPr>
          <w:sz w:val="20"/>
          <w:szCs w:val="20"/>
          <w:color w:val="auto"/>
        </w:rPr>
      </w:pPr>
      <w:r>
        <w:rPr>
          <w:rFonts w:ascii="Arial" w:cs="Arial" w:eastAsia="Arial" w:hAnsi="Arial"/>
          <w:sz w:val="15"/>
          <w:szCs w:val="15"/>
          <w:color w:val="auto"/>
        </w:rPr>
        <w:t>Maturities of operating lease liabilities were as follows:</w:t>
      </w:r>
    </w:p>
    <w:p>
      <w:pPr>
        <w:spacing w:after="0" w:line="108" w:lineRule="exact"/>
        <w:rPr>
          <w:sz w:val="20"/>
          <w:szCs w:val="20"/>
          <w:color w:val="auto"/>
        </w:rPr>
      </w:pPr>
    </w:p>
    <w:tbl>
      <w:tblPr>
        <w:tblLayout w:type="fixed"/>
        <w:tblInd w:w="0" w:type="dxa"/>
        <w:tblCellMar>
          <w:top w:w="0" w:type="dxa"/>
          <w:left w:w="0" w:type="dxa"/>
          <w:bottom w:w="0" w:type="dxa"/>
          <w:right w:w="0" w:type="dxa"/>
        </w:tblCellMar>
      </w:tblPr>
      <w:tr>
        <w:trPr>
          <w:trHeight w:val="182"/>
        </w:trPr>
        <w:tc>
          <w:tcPr>
            <w:tcW w:w="8900" w:type="dxa"/>
            <w:vAlign w:val="bottom"/>
          </w:tcPr>
          <w:p>
            <w:pPr>
              <w:ind w:left="20"/>
              <w:spacing w:after="0"/>
              <w:rPr>
                <w:sz w:val="20"/>
                <w:szCs w:val="20"/>
                <w:color w:val="auto"/>
              </w:rPr>
            </w:pPr>
            <w:r>
              <w:rPr>
                <w:rFonts w:ascii="Arial" w:cs="Arial" w:eastAsia="Arial" w:hAnsi="Arial"/>
                <w:sz w:val="14"/>
                <w:szCs w:val="14"/>
                <w:color w:val="auto"/>
              </w:rPr>
              <w:t>Fiscal year ending</w:t>
            </w:r>
          </w:p>
        </w:tc>
        <w:tc>
          <w:tcPr>
            <w:tcW w:w="720" w:type="dxa"/>
            <w:vAlign w:val="bottom"/>
          </w:tcPr>
          <w:p>
            <w:pPr>
              <w:spacing w:after="0"/>
              <w:rPr>
                <w:sz w:val="15"/>
                <w:szCs w:val="15"/>
                <w:color w:val="auto"/>
              </w:rPr>
            </w:pPr>
          </w:p>
        </w:tc>
        <w:tc>
          <w:tcPr>
            <w:tcW w:w="920" w:type="dxa"/>
            <w:vAlign w:val="bottom"/>
          </w:tcPr>
          <w:p>
            <w:pPr>
              <w:spacing w:after="0"/>
              <w:rPr>
                <w:sz w:val="15"/>
                <w:szCs w:val="15"/>
                <w:color w:val="auto"/>
              </w:rPr>
            </w:pPr>
          </w:p>
        </w:tc>
      </w:tr>
      <w:tr>
        <w:trPr>
          <w:trHeight w:val="190"/>
        </w:trPr>
        <w:tc>
          <w:tcPr>
            <w:tcW w:w="8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2024 (remainder)</w:t>
            </w:r>
          </w:p>
        </w:tc>
        <w:tc>
          <w:tcPr>
            <w:tcW w:w="720" w:type="dxa"/>
            <w:vAlign w:val="bottom"/>
            <w:shd w:val="clear" w:color="auto" w:fill="CCEEFF"/>
          </w:tcPr>
          <w:p>
            <w:pPr>
              <w:jc w:val="right"/>
              <w:ind w:right="550"/>
              <w:spacing w:after="0"/>
              <w:rPr>
                <w:sz w:val="20"/>
                <w:szCs w:val="20"/>
                <w:color w:val="auto"/>
              </w:rPr>
            </w:pPr>
            <w:r>
              <w:rPr>
                <w:rFonts w:ascii="Arial" w:cs="Arial" w:eastAsia="Arial" w:hAnsi="Arial"/>
                <w:sz w:val="14"/>
                <w:szCs w:val="14"/>
                <w:color w:val="auto"/>
              </w:rPr>
              <w:t>$</w:t>
            </w:r>
          </w:p>
        </w:tc>
        <w:tc>
          <w:tcPr>
            <w:tcW w:w="9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64</w:t>
            </w:r>
          </w:p>
        </w:tc>
      </w:tr>
      <w:tr>
        <w:trPr>
          <w:trHeight w:val="185"/>
        </w:trPr>
        <w:tc>
          <w:tcPr>
            <w:tcW w:w="8900" w:type="dxa"/>
            <w:vAlign w:val="bottom"/>
          </w:tcPr>
          <w:p>
            <w:pPr>
              <w:ind w:left="20"/>
              <w:spacing w:after="0"/>
              <w:rPr>
                <w:sz w:val="20"/>
                <w:szCs w:val="20"/>
                <w:color w:val="auto"/>
              </w:rPr>
            </w:pPr>
            <w:r>
              <w:rPr>
                <w:rFonts w:ascii="Arial" w:cs="Arial" w:eastAsia="Arial" w:hAnsi="Arial"/>
                <w:sz w:val="14"/>
                <w:szCs w:val="14"/>
                <w:color w:val="auto"/>
              </w:rPr>
              <w:t>2025</w:t>
            </w:r>
          </w:p>
        </w:tc>
        <w:tc>
          <w:tcPr>
            <w:tcW w:w="720" w:type="dxa"/>
            <w:vAlign w:val="bottom"/>
          </w:tcPr>
          <w:p>
            <w:pPr>
              <w:spacing w:after="0"/>
              <w:rPr>
                <w:sz w:val="16"/>
                <w:szCs w:val="16"/>
                <w:color w:val="auto"/>
              </w:rPr>
            </w:pPr>
          </w:p>
        </w:tc>
        <w:tc>
          <w:tcPr>
            <w:tcW w:w="920" w:type="dxa"/>
            <w:vAlign w:val="bottom"/>
          </w:tcPr>
          <w:p>
            <w:pPr>
              <w:jc w:val="right"/>
              <w:ind w:right="10"/>
              <w:spacing w:after="0"/>
              <w:rPr>
                <w:sz w:val="20"/>
                <w:szCs w:val="20"/>
                <w:color w:val="auto"/>
              </w:rPr>
            </w:pPr>
            <w:r>
              <w:rPr>
                <w:rFonts w:ascii="Arial" w:cs="Arial" w:eastAsia="Arial" w:hAnsi="Arial"/>
                <w:sz w:val="14"/>
                <w:szCs w:val="14"/>
                <w:color w:val="auto"/>
              </w:rPr>
              <w:t>87</w:t>
            </w:r>
          </w:p>
        </w:tc>
      </w:tr>
      <w:tr>
        <w:trPr>
          <w:trHeight w:val="190"/>
        </w:trPr>
        <w:tc>
          <w:tcPr>
            <w:tcW w:w="8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2026</w:t>
            </w:r>
          </w:p>
        </w:tc>
        <w:tc>
          <w:tcPr>
            <w:tcW w:w="720" w:type="dxa"/>
            <w:vAlign w:val="bottom"/>
            <w:shd w:val="clear" w:color="auto" w:fill="CCEEFF"/>
          </w:tcPr>
          <w:p>
            <w:pPr>
              <w:spacing w:after="0"/>
              <w:rPr>
                <w:sz w:val="16"/>
                <w:szCs w:val="16"/>
                <w:color w:val="auto"/>
              </w:rPr>
            </w:pPr>
          </w:p>
        </w:tc>
        <w:tc>
          <w:tcPr>
            <w:tcW w:w="9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74</w:t>
            </w:r>
          </w:p>
        </w:tc>
      </w:tr>
      <w:tr>
        <w:trPr>
          <w:trHeight w:val="185"/>
        </w:trPr>
        <w:tc>
          <w:tcPr>
            <w:tcW w:w="8900" w:type="dxa"/>
            <w:vAlign w:val="bottom"/>
          </w:tcPr>
          <w:p>
            <w:pPr>
              <w:ind w:left="20"/>
              <w:spacing w:after="0"/>
              <w:rPr>
                <w:sz w:val="20"/>
                <w:szCs w:val="20"/>
                <w:color w:val="auto"/>
              </w:rPr>
            </w:pPr>
            <w:r>
              <w:rPr>
                <w:rFonts w:ascii="Arial" w:cs="Arial" w:eastAsia="Arial" w:hAnsi="Arial"/>
                <w:sz w:val="14"/>
                <w:szCs w:val="14"/>
                <w:color w:val="auto"/>
              </w:rPr>
              <w:t>2027</w:t>
            </w:r>
          </w:p>
        </w:tc>
        <w:tc>
          <w:tcPr>
            <w:tcW w:w="720" w:type="dxa"/>
            <w:vAlign w:val="bottom"/>
          </w:tcPr>
          <w:p>
            <w:pPr>
              <w:spacing w:after="0"/>
              <w:rPr>
                <w:sz w:val="16"/>
                <w:szCs w:val="16"/>
                <w:color w:val="auto"/>
              </w:rPr>
            </w:pPr>
          </w:p>
        </w:tc>
        <w:tc>
          <w:tcPr>
            <w:tcW w:w="920" w:type="dxa"/>
            <w:vAlign w:val="bottom"/>
          </w:tcPr>
          <w:p>
            <w:pPr>
              <w:jc w:val="right"/>
              <w:ind w:right="10"/>
              <w:spacing w:after="0"/>
              <w:rPr>
                <w:sz w:val="20"/>
                <w:szCs w:val="20"/>
                <w:color w:val="auto"/>
              </w:rPr>
            </w:pPr>
            <w:r>
              <w:rPr>
                <w:rFonts w:ascii="Arial" w:cs="Arial" w:eastAsia="Arial" w:hAnsi="Arial"/>
                <w:sz w:val="14"/>
                <w:szCs w:val="14"/>
                <w:color w:val="auto"/>
              </w:rPr>
              <w:t>54</w:t>
            </w:r>
          </w:p>
        </w:tc>
      </w:tr>
      <w:tr>
        <w:trPr>
          <w:trHeight w:val="190"/>
        </w:trPr>
        <w:tc>
          <w:tcPr>
            <w:tcW w:w="8900" w:type="dxa"/>
            <w:vAlign w:val="bottom"/>
            <w:shd w:val="clear" w:color="auto" w:fill="CCEEFF"/>
          </w:tcPr>
          <w:p>
            <w:pPr>
              <w:ind w:left="20"/>
              <w:spacing w:after="0"/>
              <w:rPr>
                <w:sz w:val="20"/>
                <w:szCs w:val="20"/>
                <w:color w:val="auto"/>
              </w:rPr>
            </w:pPr>
            <w:r>
              <w:rPr>
                <w:rFonts w:ascii="Arial" w:cs="Arial" w:eastAsia="Arial" w:hAnsi="Arial"/>
                <w:sz w:val="14"/>
                <w:szCs w:val="14"/>
                <w:color w:val="auto"/>
              </w:rPr>
              <w:t>2028</w:t>
            </w:r>
          </w:p>
        </w:tc>
        <w:tc>
          <w:tcPr>
            <w:tcW w:w="720" w:type="dxa"/>
            <w:vAlign w:val="bottom"/>
            <w:shd w:val="clear" w:color="auto" w:fill="CCEEFF"/>
          </w:tcPr>
          <w:p>
            <w:pPr>
              <w:spacing w:after="0"/>
              <w:rPr>
                <w:sz w:val="16"/>
                <w:szCs w:val="16"/>
                <w:color w:val="auto"/>
              </w:rPr>
            </w:pPr>
          </w:p>
        </w:tc>
        <w:tc>
          <w:tcPr>
            <w:tcW w:w="9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45</w:t>
            </w:r>
          </w:p>
        </w:tc>
      </w:tr>
      <w:tr>
        <w:trPr>
          <w:trHeight w:val="185"/>
        </w:trPr>
        <w:tc>
          <w:tcPr>
            <w:tcW w:w="890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Thereafter</w:t>
            </w:r>
          </w:p>
        </w:tc>
        <w:tc>
          <w:tcPr>
            <w:tcW w:w="72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115</w:t>
            </w:r>
          </w:p>
        </w:tc>
      </w:tr>
      <w:tr>
        <w:trPr>
          <w:trHeight w:val="182"/>
        </w:trPr>
        <w:tc>
          <w:tcPr>
            <w:tcW w:w="8900" w:type="dxa"/>
            <w:vAlign w:val="bottom"/>
            <w:shd w:val="clear" w:color="auto" w:fill="CCEEFF"/>
          </w:tcPr>
          <w:p>
            <w:pPr>
              <w:spacing w:after="0"/>
              <w:rPr>
                <w:sz w:val="15"/>
                <w:szCs w:val="15"/>
                <w:color w:val="auto"/>
              </w:rPr>
            </w:pPr>
          </w:p>
        </w:tc>
        <w:tc>
          <w:tcPr>
            <w:tcW w:w="720" w:type="dxa"/>
            <w:vAlign w:val="bottom"/>
            <w:shd w:val="clear" w:color="auto" w:fill="CCEEFF"/>
          </w:tcPr>
          <w:p>
            <w:pPr>
              <w:spacing w:after="0"/>
              <w:rPr>
                <w:sz w:val="15"/>
                <w:szCs w:val="15"/>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439</w:t>
            </w:r>
          </w:p>
        </w:tc>
      </w:tr>
      <w:tr>
        <w:trPr>
          <w:trHeight w:val="185"/>
        </w:trPr>
        <w:tc>
          <w:tcPr>
            <w:tcW w:w="890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Less imputed interest</w:t>
            </w:r>
          </w:p>
        </w:tc>
        <w:tc>
          <w:tcPr>
            <w:tcW w:w="72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37</w:t>
            </w:r>
          </w:p>
        </w:tc>
      </w:tr>
      <w:tr>
        <w:trPr>
          <w:trHeight w:val="207"/>
        </w:trPr>
        <w:tc>
          <w:tcPr>
            <w:tcW w:w="890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Present value of operating lease liabilities</w:t>
            </w:r>
          </w:p>
        </w:tc>
        <w:tc>
          <w:tcPr>
            <w:tcW w:w="720" w:type="dxa"/>
            <w:vAlign w:val="bottom"/>
            <w:tcBorders>
              <w:bottom w:val="single" w:sz="8" w:color="auto"/>
            </w:tcBorders>
            <w:shd w:val="clear" w:color="auto" w:fill="CCEEFF"/>
          </w:tcPr>
          <w:p>
            <w:pPr>
              <w:jc w:val="right"/>
              <w:ind w:right="550"/>
              <w:spacing w:after="0"/>
              <w:rPr>
                <w:sz w:val="20"/>
                <w:szCs w:val="20"/>
                <w:color w:val="auto"/>
              </w:rPr>
            </w:pPr>
            <w:r>
              <w:rPr>
                <w:rFonts w:ascii="Arial" w:cs="Arial" w:eastAsia="Arial" w:hAnsi="Arial"/>
                <w:sz w:val="14"/>
                <w:szCs w:val="14"/>
                <w:color w:val="auto"/>
              </w:rPr>
              <w:t>$</w:t>
            </w:r>
          </w:p>
        </w:tc>
        <w:tc>
          <w:tcPr>
            <w:tcW w:w="9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402</w:t>
            </w:r>
          </w:p>
        </w:tc>
      </w:tr>
      <w:tr>
        <w:trPr>
          <w:trHeight w:val="20"/>
        </w:trPr>
        <w:tc>
          <w:tcPr>
            <w:tcW w:w="8900" w:type="dxa"/>
            <w:vAlign w:val="bottom"/>
            <w:tcBorders>
              <w:top w:val="single" w:sz="8" w:color="CCEEFF"/>
            </w:tcBorders>
          </w:tcPr>
          <w:p>
            <w:pPr>
              <w:spacing w:after="0" w:line="20" w:lineRule="exact"/>
              <w:rPr>
                <w:sz w:val="1"/>
                <w:szCs w:val="1"/>
                <w:color w:val="auto"/>
              </w:rPr>
            </w:pPr>
          </w:p>
        </w:tc>
        <w:tc>
          <w:tcPr>
            <w:tcW w:w="72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r>
    </w:tbl>
    <w:p>
      <w:pPr>
        <w:spacing w:after="0" w:line="239" w:lineRule="exact"/>
        <w:rPr>
          <w:sz w:val="20"/>
          <w:szCs w:val="20"/>
          <w:color w:val="auto"/>
        </w:rPr>
      </w:pPr>
    </w:p>
    <w:p>
      <w:pPr>
        <w:jc w:val="both"/>
        <w:ind w:firstLine="351"/>
        <w:spacing w:after="0" w:line="257" w:lineRule="auto"/>
        <w:rPr>
          <w:sz w:val="20"/>
          <w:szCs w:val="20"/>
          <w:color w:val="auto"/>
        </w:rPr>
      </w:pPr>
      <w:r>
        <w:rPr>
          <w:rFonts w:ascii="Arial" w:cs="Arial" w:eastAsia="Arial" w:hAnsi="Arial"/>
          <w:sz w:val="15"/>
          <w:szCs w:val="15"/>
          <w:color w:val="auto"/>
        </w:rPr>
        <w:t>Autodesk has subleased certain office space to a third party and has classified the sublease as an operating lease. The sublease has a remaining lease term of 8.8 years. Sublease income was $2 million for the three months ended April 30, 2023. There was no sublease income for the three months ended April 30, 2022. Sublease income is recorded as a reduction of lease expense in the Company’s Condensed Consolidated Statements of Operations.</w:t>
      </w:r>
    </w:p>
    <w:p>
      <w:pPr>
        <w:spacing w:after="0" w:line="196" w:lineRule="exact"/>
        <w:rPr>
          <w:sz w:val="20"/>
          <w:szCs w:val="20"/>
          <w:color w:val="auto"/>
        </w:rPr>
      </w:pPr>
    </w:p>
    <w:p>
      <w:pPr>
        <w:ind w:right="280" w:firstLine="351"/>
        <w:spacing w:after="0" w:line="271" w:lineRule="auto"/>
        <w:rPr>
          <w:sz w:val="20"/>
          <w:szCs w:val="20"/>
          <w:color w:val="auto"/>
        </w:rPr>
      </w:pPr>
      <w:r>
        <w:rPr>
          <w:rFonts w:ascii="Arial" w:cs="Arial" w:eastAsia="Arial" w:hAnsi="Arial"/>
          <w:sz w:val="15"/>
          <w:szCs w:val="15"/>
          <w:color w:val="auto"/>
        </w:rPr>
        <w:t>Operating lease amounts in the table above do not include sublease income payments of $85 million. Autodesk expects to receive sublease income payments of approximately $46 million for remaining fiscal 2024 through fiscal 2028 and $39 million thereafter.</w:t>
      </w:r>
    </w:p>
    <w:p>
      <w:pPr>
        <w:spacing w:after="0" w:line="185" w:lineRule="exact"/>
        <w:rPr>
          <w:sz w:val="20"/>
          <w:szCs w:val="20"/>
          <w:color w:val="auto"/>
        </w:rPr>
      </w:pPr>
    </w:p>
    <w:p>
      <w:pPr>
        <w:ind w:left="360"/>
        <w:spacing w:after="0"/>
        <w:rPr>
          <w:sz w:val="20"/>
          <w:szCs w:val="20"/>
          <w:color w:val="auto"/>
        </w:rPr>
      </w:pPr>
      <w:r>
        <w:rPr>
          <w:rFonts w:ascii="Arial" w:cs="Arial" w:eastAsia="Arial" w:hAnsi="Arial"/>
          <w:sz w:val="15"/>
          <w:szCs w:val="15"/>
          <w:color w:val="auto"/>
        </w:rPr>
        <w:t>As of April 30, 2023, Autodesk had no material additional operating lease minimum lease payments for executed leases that have not yet commenced.</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406" w:right="680" w:bottom="1440" w:gutter="0" w:footer="0" w:header="0"/>
        </w:sectPr>
      </w:pPr>
    </w:p>
    <w:bookmarkStart w:id="23" w:name="page24"/>
    <w:bookmarkEnd w:id="23"/>
    <w:p>
      <w:pPr>
        <w:spacing w:after="0"/>
        <w:rPr>
          <w:sz w:val="20"/>
          <w:szCs w:val="20"/>
          <w:color w:val="auto"/>
        </w:rPr>
      </w:pPr>
      <w:r>
        <w:rPr>
          <w:rFonts w:ascii="Arial" w:cs="Arial" w:eastAsia="Arial" w:hAnsi="Arial"/>
          <w:sz w:val="15"/>
          <w:szCs w:val="15"/>
          <w:b w:val="1"/>
          <w:bCs w:val="1"/>
          <w:i w:val="1"/>
          <w:iCs w:val="1"/>
          <w:color w:val="auto"/>
        </w:rPr>
        <w:t>15. Derivative Instruments</w:t>
      </w:r>
    </w:p>
    <w:p>
      <w:pPr>
        <w:spacing w:after="0" w:line="234" w:lineRule="exact"/>
        <w:rPr>
          <w:sz w:val="20"/>
          <w:szCs w:val="20"/>
          <w:color w:val="auto"/>
        </w:rPr>
      </w:pPr>
    </w:p>
    <w:p>
      <w:pPr>
        <w:ind w:right="120" w:firstLine="351"/>
        <w:spacing w:after="0" w:line="271" w:lineRule="auto"/>
        <w:rPr>
          <w:sz w:val="20"/>
          <w:szCs w:val="20"/>
          <w:color w:val="auto"/>
        </w:rPr>
      </w:pPr>
      <w:r>
        <w:rPr>
          <w:rFonts w:ascii="Arial" w:cs="Arial" w:eastAsia="Arial" w:hAnsi="Arial"/>
          <w:sz w:val="15"/>
          <w:szCs w:val="15"/>
          <w:color w:val="auto"/>
        </w:rPr>
        <w:t>The fair values of derivative instruments in Autodesk’s Condensed Consolidated Balance Sheets were as follows as of April 30, 2023, and January 31, 2023:</w:t>
      </w:r>
    </w:p>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5000" w:type="dxa"/>
            <w:vAlign w:val="bottom"/>
          </w:tcPr>
          <w:p>
            <w:pPr>
              <w:spacing w:after="0"/>
              <w:rPr>
                <w:sz w:val="15"/>
                <w:szCs w:val="15"/>
                <w:color w:val="auto"/>
              </w:rPr>
            </w:pPr>
          </w:p>
        </w:tc>
        <w:tc>
          <w:tcPr>
            <w:tcW w:w="28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2440" w:type="dxa"/>
            <w:vAlign w:val="bottom"/>
            <w:tcBorders>
              <w:bottom w:val="single" w:sz="8" w:color="auto"/>
            </w:tcBorders>
            <w:gridSpan w:val="4"/>
          </w:tcPr>
          <w:p>
            <w:pPr>
              <w:jc w:val="center"/>
              <w:ind w:right="51"/>
              <w:spacing w:after="0"/>
              <w:rPr>
                <w:sz w:val="20"/>
                <w:szCs w:val="20"/>
                <w:color w:val="auto"/>
              </w:rPr>
            </w:pPr>
            <w:r>
              <w:rPr>
                <w:rFonts w:ascii="Arial" w:cs="Arial" w:eastAsia="Arial" w:hAnsi="Arial"/>
                <w:sz w:val="13"/>
                <w:szCs w:val="13"/>
                <w:b w:val="1"/>
                <w:bCs w:val="1"/>
                <w:color w:val="auto"/>
                <w:w w:val="98"/>
              </w:rPr>
              <w:t>Fair Value at</w:t>
            </w:r>
          </w:p>
        </w:tc>
        <w:tc>
          <w:tcPr>
            <w:tcW w:w="0" w:type="dxa"/>
            <w:vAlign w:val="bottom"/>
          </w:tcPr>
          <w:p>
            <w:pPr>
              <w:spacing w:after="0"/>
              <w:rPr>
                <w:sz w:val="1"/>
                <w:szCs w:val="1"/>
                <w:color w:val="auto"/>
              </w:rPr>
            </w:pPr>
          </w:p>
        </w:tc>
      </w:tr>
      <w:tr>
        <w:trPr>
          <w:trHeight w:val="238"/>
        </w:trPr>
        <w:tc>
          <w:tcPr>
            <w:tcW w:w="5000" w:type="dxa"/>
            <w:vAlign w:val="bottom"/>
          </w:tcPr>
          <w:p>
            <w:pPr>
              <w:spacing w:after="0"/>
              <w:rPr>
                <w:sz w:val="20"/>
                <w:szCs w:val="20"/>
                <w:color w:val="auto"/>
              </w:rPr>
            </w:pPr>
          </w:p>
        </w:tc>
        <w:tc>
          <w:tcPr>
            <w:tcW w:w="2980" w:type="dxa"/>
            <w:vAlign w:val="bottom"/>
            <w:gridSpan w:val="2"/>
          </w:tcPr>
          <w:p>
            <w:pPr>
              <w:ind w:left="720"/>
              <w:spacing w:after="0"/>
              <w:rPr>
                <w:sz w:val="20"/>
                <w:szCs w:val="20"/>
                <w:color w:val="auto"/>
              </w:rPr>
            </w:pPr>
            <w:r>
              <w:rPr>
                <w:rFonts w:ascii="Arial" w:cs="Arial" w:eastAsia="Arial" w:hAnsi="Arial"/>
                <w:sz w:val="13"/>
                <w:szCs w:val="13"/>
                <w:b w:val="1"/>
                <w:bCs w:val="1"/>
                <w:color w:val="auto"/>
              </w:rPr>
              <w:t>Balance Sheet Location</w:t>
            </w:r>
          </w:p>
        </w:tc>
        <w:tc>
          <w:tcPr>
            <w:tcW w:w="120" w:type="dxa"/>
            <w:vAlign w:val="bottom"/>
          </w:tcPr>
          <w:p>
            <w:pPr>
              <w:spacing w:after="0"/>
              <w:rPr>
                <w:sz w:val="20"/>
                <w:szCs w:val="20"/>
                <w:color w:val="auto"/>
              </w:rPr>
            </w:pPr>
          </w:p>
        </w:tc>
        <w:tc>
          <w:tcPr>
            <w:tcW w:w="1020" w:type="dxa"/>
            <w:vAlign w:val="bottom"/>
          </w:tcPr>
          <w:p>
            <w:pPr>
              <w:jc w:val="right"/>
              <w:ind w:right="91"/>
              <w:spacing w:after="0"/>
              <w:rPr>
                <w:sz w:val="20"/>
                <w:szCs w:val="20"/>
                <w:color w:val="auto"/>
              </w:rPr>
            </w:pPr>
            <w:r>
              <w:rPr>
                <w:rFonts w:ascii="Arial" w:cs="Arial" w:eastAsia="Arial" w:hAnsi="Arial"/>
                <w:sz w:val="13"/>
                <w:szCs w:val="13"/>
                <w:b w:val="1"/>
                <w:bCs w:val="1"/>
                <w:color w:val="auto"/>
              </w:rPr>
              <w:t>April 30, 2023</w:t>
            </w: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00" w:type="dxa"/>
            <w:vAlign w:val="bottom"/>
          </w:tcPr>
          <w:p>
            <w:pPr>
              <w:jc w:val="right"/>
              <w:ind w:right="71"/>
              <w:spacing w:after="0"/>
              <w:rPr>
                <w:sz w:val="20"/>
                <w:szCs w:val="20"/>
                <w:color w:val="auto"/>
              </w:rPr>
            </w:pPr>
            <w:r>
              <w:rPr>
                <w:rFonts w:ascii="Arial" w:cs="Arial" w:eastAsia="Arial" w:hAnsi="Arial"/>
                <w:sz w:val="13"/>
                <w:szCs w:val="13"/>
                <w:b w:val="1"/>
                <w:bCs w:val="1"/>
                <w:color w:val="auto"/>
                <w:w w:val="99"/>
              </w:rPr>
              <w:t>January 31, 2023</w:t>
            </w:r>
          </w:p>
        </w:tc>
        <w:tc>
          <w:tcPr>
            <w:tcW w:w="0" w:type="dxa"/>
            <w:vAlign w:val="bottom"/>
          </w:tcPr>
          <w:p>
            <w:pPr>
              <w:spacing w:after="0"/>
              <w:rPr>
                <w:sz w:val="1"/>
                <w:szCs w:val="1"/>
                <w:color w:val="auto"/>
              </w:rPr>
            </w:pPr>
          </w:p>
        </w:tc>
      </w:tr>
      <w:tr>
        <w:trPr>
          <w:trHeight w:val="167"/>
        </w:trPr>
        <w:tc>
          <w:tcPr>
            <w:tcW w:w="500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Derivative Assets</w:t>
            </w:r>
          </w:p>
        </w:tc>
        <w:tc>
          <w:tcPr>
            <w:tcW w:w="28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20" w:type="dxa"/>
            <w:vAlign w:val="bottom"/>
            <w:tcBorders>
              <w:top w:val="single" w:sz="8" w:color="auto"/>
            </w:tcBorders>
            <w:shd w:val="clear" w:color="auto" w:fill="CCEEFF"/>
          </w:tcPr>
          <w:p>
            <w:pPr>
              <w:spacing w:after="0"/>
              <w:rPr>
                <w:sz w:val="14"/>
                <w:szCs w:val="14"/>
                <w:color w:val="auto"/>
              </w:rPr>
            </w:pPr>
          </w:p>
        </w:tc>
        <w:tc>
          <w:tcPr>
            <w:tcW w:w="102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20" w:type="dxa"/>
            <w:vAlign w:val="bottom"/>
            <w:tcBorders>
              <w:top w:val="single" w:sz="8" w:color="auto"/>
            </w:tcBorders>
            <w:shd w:val="clear" w:color="auto" w:fill="CCEEFF"/>
          </w:tcPr>
          <w:p>
            <w:pPr>
              <w:spacing w:after="0"/>
              <w:rPr>
                <w:sz w:val="14"/>
                <w:szCs w:val="14"/>
                <w:color w:val="auto"/>
              </w:rPr>
            </w:pPr>
          </w:p>
        </w:tc>
        <w:tc>
          <w:tcPr>
            <w:tcW w:w="120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5000" w:type="dxa"/>
            <w:vAlign w:val="bottom"/>
          </w:tcPr>
          <w:p>
            <w:pPr>
              <w:ind w:left="300"/>
              <w:spacing w:after="0"/>
              <w:rPr>
                <w:sz w:val="20"/>
                <w:szCs w:val="20"/>
                <w:color w:val="auto"/>
              </w:rPr>
            </w:pPr>
            <w:r>
              <w:rPr>
                <w:rFonts w:ascii="Arial" w:cs="Arial" w:eastAsia="Arial" w:hAnsi="Arial"/>
                <w:sz w:val="14"/>
                <w:szCs w:val="14"/>
                <w:color w:val="auto"/>
              </w:rPr>
              <w:t>Foreign currency contracts designated as cash flow hedges</w:t>
            </w:r>
          </w:p>
        </w:tc>
        <w:tc>
          <w:tcPr>
            <w:tcW w:w="2980" w:type="dxa"/>
            <w:vAlign w:val="bottom"/>
            <w:gridSpan w:val="2"/>
          </w:tcPr>
          <w:p>
            <w:pPr>
              <w:spacing w:after="0"/>
              <w:rPr>
                <w:sz w:val="20"/>
                <w:szCs w:val="20"/>
                <w:color w:val="auto"/>
              </w:rPr>
            </w:pPr>
            <w:r>
              <w:rPr>
                <w:rFonts w:ascii="Arial" w:cs="Arial" w:eastAsia="Arial" w:hAnsi="Arial"/>
                <w:sz w:val="14"/>
                <w:szCs w:val="14"/>
                <w:color w:val="auto"/>
              </w:rPr>
              <w:t>Prepaid expenses and other current assets</w:t>
            </w: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1020" w:type="dxa"/>
            <w:vAlign w:val="bottom"/>
          </w:tcPr>
          <w:p>
            <w:pPr>
              <w:jc w:val="right"/>
              <w:spacing w:after="0"/>
              <w:rPr>
                <w:sz w:val="20"/>
                <w:szCs w:val="20"/>
                <w:color w:val="auto"/>
              </w:rPr>
            </w:pPr>
            <w:r>
              <w:rPr>
                <w:rFonts w:ascii="Arial" w:cs="Arial" w:eastAsia="Arial" w:hAnsi="Arial"/>
                <w:sz w:val="14"/>
                <w:szCs w:val="14"/>
                <w:color w:val="auto"/>
              </w:rPr>
              <w:t>9</w:t>
            </w:r>
          </w:p>
        </w:tc>
        <w:tc>
          <w:tcPr>
            <w:tcW w:w="220" w:type="dxa"/>
            <w:vAlign w:val="bottom"/>
            <w:gridSpan w:val="2"/>
          </w:tcPr>
          <w:p>
            <w:pPr>
              <w:jc w:val="center"/>
              <w:spacing w:after="0"/>
              <w:rPr>
                <w:sz w:val="20"/>
                <w:szCs w:val="20"/>
                <w:color w:val="auto"/>
              </w:rPr>
            </w:pPr>
            <w:r>
              <w:rPr>
                <w:rFonts w:ascii="Arial" w:cs="Arial" w:eastAsia="Arial" w:hAnsi="Arial"/>
                <w:sz w:val="14"/>
                <w:szCs w:val="14"/>
                <w:color w:val="auto"/>
              </w:rPr>
              <w:t>$</w:t>
            </w:r>
          </w:p>
        </w:tc>
        <w:tc>
          <w:tcPr>
            <w:tcW w:w="1200" w:type="dxa"/>
            <w:vAlign w:val="bottom"/>
          </w:tcPr>
          <w:p>
            <w:pPr>
              <w:jc w:val="right"/>
              <w:ind w:right="31"/>
              <w:spacing w:after="0"/>
              <w:rPr>
                <w:sz w:val="20"/>
                <w:szCs w:val="20"/>
                <w:color w:val="auto"/>
              </w:rPr>
            </w:pPr>
            <w:r>
              <w:rPr>
                <w:rFonts w:ascii="Arial" w:cs="Arial" w:eastAsia="Arial" w:hAnsi="Arial"/>
                <w:sz w:val="14"/>
                <w:szCs w:val="14"/>
                <w:color w:val="auto"/>
              </w:rPr>
              <w:t>9</w:t>
            </w:r>
          </w:p>
        </w:tc>
        <w:tc>
          <w:tcPr>
            <w:tcW w:w="0" w:type="dxa"/>
            <w:vAlign w:val="bottom"/>
          </w:tcPr>
          <w:p>
            <w:pPr>
              <w:spacing w:after="0"/>
              <w:rPr>
                <w:sz w:val="1"/>
                <w:szCs w:val="1"/>
                <w:color w:val="auto"/>
              </w:rPr>
            </w:pPr>
          </w:p>
        </w:tc>
      </w:tr>
      <w:tr>
        <w:trPr>
          <w:trHeight w:val="146"/>
        </w:trPr>
        <w:tc>
          <w:tcPr>
            <w:tcW w:w="500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Derivatives not designated as hedging instruments</w:t>
            </w:r>
          </w:p>
        </w:tc>
        <w:tc>
          <w:tcPr>
            <w:tcW w:w="2980" w:type="dxa"/>
            <w:vAlign w:val="bottom"/>
            <w:gridSpan w:val="2"/>
            <w:shd w:val="clear" w:color="auto" w:fill="CCEEFF"/>
          </w:tcPr>
          <w:p>
            <w:pPr>
              <w:spacing w:after="0" w:line="147" w:lineRule="exact"/>
              <w:rPr>
                <w:sz w:val="20"/>
                <w:szCs w:val="20"/>
                <w:color w:val="auto"/>
              </w:rPr>
            </w:pPr>
            <w:r>
              <w:rPr>
                <w:rFonts w:ascii="Arial" w:cs="Arial" w:eastAsia="Arial" w:hAnsi="Arial"/>
                <w:sz w:val="14"/>
                <w:szCs w:val="14"/>
                <w:color w:val="auto"/>
              </w:rPr>
              <w:t>Prepaid expenses and other current assets</w:t>
            </w:r>
          </w:p>
        </w:tc>
        <w:tc>
          <w:tcPr>
            <w:tcW w:w="120" w:type="dxa"/>
            <w:vAlign w:val="bottom"/>
            <w:shd w:val="clear" w:color="auto" w:fill="CCEEFF"/>
          </w:tcPr>
          <w:p>
            <w:pPr>
              <w:spacing w:after="0"/>
              <w:rPr>
                <w:sz w:val="12"/>
                <w:szCs w:val="12"/>
                <w:color w:val="auto"/>
              </w:rPr>
            </w:pPr>
          </w:p>
        </w:tc>
        <w:tc>
          <w:tcPr>
            <w:tcW w:w="1020" w:type="dxa"/>
            <w:vAlign w:val="bottom"/>
            <w:vMerge w:val="restart"/>
            <w:shd w:val="clear" w:color="auto" w:fill="CCEEFF"/>
          </w:tcPr>
          <w:p>
            <w:pPr>
              <w:jc w:val="right"/>
              <w:spacing w:after="0"/>
              <w:rPr>
                <w:sz w:val="20"/>
                <w:szCs w:val="20"/>
                <w:color w:val="auto"/>
              </w:rPr>
            </w:pPr>
            <w:r>
              <w:rPr>
                <w:rFonts w:ascii="Arial" w:cs="Arial" w:eastAsia="Arial" w:hAnsi="Arial"/>
                <w:sz w:val="14"/>
                <w:szCs w:val="14"/>
                <w:color w:val="auto"/>
              </w:rPr>
              <w:t>6</w:t>
            </w:r>
          </w:p>
        </w:tc>
        <w:tc>
          <w:tcPr>
            <w:tcW w:w="10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200" w:type="dxa"/>
            <w:vAlign w:val="bottom"/>
            <w:vMerge w:val="restart"/>
            <w:shd w:val="clear" w:color="auto" w:fill="CCEEFF"/>
          </w:tcPr>
          <w:p>
            <w:pPr>
              <w:jc w:val="right"/>
              <w:ind w:right="31"/>
              <w:spacing w:after="0"/>
              <w:rPr>
                <w:sz w:val="20"/>
                <w:szCs w:val="20"/>
                <w:color w:val="auto"/>
              </w:rPr>
            </w:pPr>
            <w:r>
              <w:rPr>
                <w:rFonts w:ascii="Arial" w:cs="Arial" w:eastAsia="Arial" w:hAnsi="Arial"/>
                <w:sz w:val="14"/>
                <w:szCs w:val="14"/>
                <w:color w:val="auto"/>
              </w:rPr>
              <w:t>5</w:t>
            </w:r>
          </w:p>
        </w:tc>
        <w:tc>
          <w:tcPr>
            <w:tcW w:w="0" w:type="dxa"/>
            <w:vAlign w:val="bottom"/>
          </w:tcPr>
          <w:p>
            <w:pPr>
              <w:spacing w:after="0"/>
              <w:rPr>
                <w:sz w:val="1"/>
                <w:szCs w:val="1"/>
                <w:color w:val="auto"/>
              </w:rPr>
            </w:pPr>
          </w:p>
        </w:tc>
      </w:tr>
      <w:tr>
        <w:trPr>
          <w:trHeight w:val="182"/>
        </w:trPr>
        <w:tc>
          <w:tcPr>
            <w:tcW w:w="5000" w:type="dxa"/>
            <w:vAlign w:val="bottom"/>
            <w:shd w:val="clear" w:color="auto" w:fill="CCEEFF"/>
          </w:tcPr>
          <w:p>
            <w:pPr>
              <w:spacing w:after="0"/>
              <w:rPr>
                <w:sz w:val="15"/>
                <w:szCs w:val="15"/>
                <w:color w:val="auto"/>
              </w:rPr>
            </w:pPr>
          </w:p>
        </w:tc>
        <w:tc>
          <w:tcPr>
            <w:tcW w:w="2980" w:type="dxa"/>
            <w:vAlign w:val="bottom"/>
            <w:gridSpan w:val="2"/>
            <w:shd w:val="clear" w:color="auto" w:fill="CCEEFF"/>
          </w:tcPr>
          <w:p>
            <w:pPr>
              <w:spacing w:after="0"/>
              <w:rPr>
                <w:sz w:val="20"/>
                <w:szCs w:val="20"/>
                <w:color w:val="auto"/>
              </w:rPr>
            </w:pPr>
            <w:r>
              <w:rPr>
                <w:rFonts w:ascii="Arial" w:cs="Arial" w:eastAsia="Arial" w:hAnsi="Arial"/>
                <w:sz w:val="14"/>
                <w:szCs w:val="14"/>
                <w:color w:val="auto"/>
              </w:rPr>
              <w:t>and long-term other assets</w:t>
            </w:r>
          </w:p>
        </w:tc>
        <w:tc>
          <w:tcPr>
            <w:tcW w:w="120" w:type="dxa"/>
            <w:vAlign w:val="bottom"/>
            <w:tcBorders>
              <w:bottom w:val="single" w:sz="8" w:color="auto"/>
            </w:tcBorders>
            <w:shd w:val="clear" w:color="auto" w:fill="CCEEFF"/>
          </w:tcPr>
          <w:p>
            <w:pPr>
              <w:spacing w:after="0"/>
              <w:rPr>
                <w:sz w:val="15"/>
                <w:szCs w:val="15"/>
                <w:color w:val="auto"/>
              </w:rPr>
            </w:pPr>
          </w:p>
        </w:tc>
        <w:tc>
          <w:tcPr>
            <w:tcW w:w="1020" w:type="dxa"/>
            <w:vAlign w:val="bottom"/>
            <w:tcBorders>
              <w:bottom w:val="single" w:sz="8" w:color="auto"/>
            </w:tcBorders>
            <w:vMerge w:val="continue"/>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spacing w:after="0"/>
              <w:rPr>
                <w:sz w:val="15"/>
                <w:szCs w:val="15"/>
                <w:color w:val="auto"/>
              </w:rPr>
            </w:pPr>
          </w:p>
        </w:tc>
        <w:tc>
          <w:tcPr>
            <w:tcW w:w="1200" w:type="dxa"/>
            <w:vAlign w:val="bottom"/>
            <w:tcBorders>
              <w:bottom w:val="single" w:sz="8" w:color="auto"/>
            </w:tcBorders>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82"/>
        </w:trPr>
        <w:tc>
          <w:tcPr>
            <w:tcW w:w="5000" w:type="dxa"/>
            <w:vAlign w:val="bottom"/>
          </w:tcPr>
          <w:p>
            <w:pPr>
              <w:ind w:left="580"/>
              <w:spacing w:after="0"/>
              <w:rPr>
                <w:sz w:val="20"/>
                <w:szCs w:val="20"/>
                <w:color w:val="auto"/>
              </w:rPr>
            </w:pPr>
            <w:r>
              <w:rPr>
                <w:rFonts w:ascii="Arial" w:cs="Arial" w:eastAsia="Arial" w:hAnsi="Arial"/>
                <w:sz w:val="14"/>
                <w:szCs w:val="14"/>
                <w:color w:val="auto"/>
              </w:rPr>
              <w:t>Total derivative assets</w:t>
            </w:r>
          </w:p>
        </w:tc>
        <w:tc>
          <w:tcPr>
            <w:tcW w:w="28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1020" w:type="dxa"/>
            <w:vAlign w:val="bottom"/>
          </w:tcPr>
          <w:p>
            <w:pPr>
              <w:jc w:val="right"/>
              <w:spacing w:after="0"/>
              <w:rPr>
                <w:sz w:val="20"/>
                <w:szCs w:val="20"/>
                <w:color w:val="auto"/>
              </w:rPr>
            </w:pPr>
            <w:r>
              <w:rPr>
                <w:rFonts w:ascii="Arial" w:cs="Arial" w:eastAsia="Arial" w:hAnsi="Arial"/>
                <w:sz w:val="14"/>
                <w:szCs w:val="14"/>
                <w:color w:val="auto"/>
              </w:rPr>
              <w:t>15</w:t>
            </w:r>
          </w:p>
        </w:tc>
        <w:tc>
          <w:tcPr>
            <w:tcW w:w="220" w:type="dxa"/>
            <w:vAlign w:val="bottom"/>
            <w:gridSpan w:val="2"/>
          </w:tcPr>
          <w:p>
            <w:pPr>
              <w:jc w:val="center"/>
              <w:spacing w:after="0"/>
              <w:rPr>
                <w:sz w:val="20"/>
                <w:szCs w:val="20"/>
                <w:color w:val="auto"/>
              </w:rPr>
            </w:pPr>
            <w:r>
              <w:rPr>
                <w:rFonts w:ascii="Arial" w:cs="Arial" w:eastAsia="Arial" w:hAnsi="Arial"/>
                <w:sz w:val="14"/>
                <w:szCs w:val="14"/>
                <w:color w:val="auto"/>
              </w:rPr>
              <w:t>$</w:t>
            </w:r>
          </w:p>
        </w:tc>
        <w:tc>
          <w:tcPr>
            <w:tcW w:w="1200" w:type="dxa"/>
            <w:vAlign w:val="bottom"/>
          </w:tcPr>
          <w:p>
            <w:pPr>
              <w:jc w:val="right"/>
              <w:ind w:right="31"/>
              <w:spacing w:after="0"/>
              <w:rPr>
                <w:sz w:val="20"/>
                <w:szCs w:val="20"/>
                <w:color w:val="auto"/>
              </w:rPr>
            </w:pPr>
            <w:r>
              <w:rPr>
                <w:rFonts w:ascii="Arial" w:cs="Arial" w:eastAsia="Arial" w:hAnsi="Arial"/>
                <w:sz w:val="14"/>
                <w:szCs w:val="14"/>
                <w:color w:val="auto"/>
              </w:rPr>
              <w:t>14</w:t>
            </w:r>
          </w:p>
        </w:tc>
        <w:tc>
          <w:tcPr>
            <w:tcW w:w="0" w:type="dxa"/>
            <w:vAlign w:val="bottom"/>
          </w:tcPr>
          <w:p>
            <w:pPr>
              <w:spacing w:after="0"/>
              <w:rPr>
                <w:sz w:val="1"/>
                <w:szCs w:val="1"/>
                <w:color w:val="auto"/>
              </w:rPr>
            </w:pPr>
          </w:p>
        </w:tc>
      </w:tr>
      <w:tr>
        <w:trPr>
          <w:trHeight w:val="20"/>
        </w:trPr>
        <w:tc>
          <w:tcPr>
            <w:tcW w:w="5000" w:type="dxa"/>
            <w:vAlign w:val="bottom"/>
            <w:tcBorders>
              <w:bottom w:val="single" w:sz="8" w:color="CCEEFF"/>
            </w:tcBorders>
          </w:tcPr>
          <w:p>
            <w:pPr>
              <w:spacing w:after="0" w:line="20" w:lineRule="exact"/>
              <w:rPr>
                <w:sz w:val="1"/>
                <w:szCs w:val="1"/>
                <w:color w:val="auto"/>
              </w:rPr>
            </w:pPr>
          </w:p>
        </w:tc>
        <w:tc>
          <w:tcPr>
            <w:tcW w:w="2880" w:type="dxa"/>
            <w:vAlign w:val="bottom"/>
            <w:tcBorders>
              <w:bottom w:val="single" w:sz="8" w:color="CCEEFF"/>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1"/>
        </w:trPr>
        <w:tc>
          <w:tcPr>
            <w:tcW w:w="5000" w:type="dxa"/>
            <w:vAlign w:val="bottom"/>
            <w:shd w:val="clear" w:color="auto" w:fill="CCEEFF"/>
          </w:tcPr>
          <w:p>
            <w:pPr>
              <w:ind w:left="20"/>
              <w:spacing w:after="0" w:line="151" w:lineRule="exact"/>
              <w:rPr>
                <w:sz w:val="20"/>
                <w:szCs w:val="20"/>
                <w:color w:val="auto"/>
              </w:rPr>
            </w:pPr>
            <w:r>
              <w:rPr>
                <w:rFonts w:ascii="Arial" w:cs="Arial" w:eastAsia="Arial" w:hAnsi="Arial"/>
                <w:sz w:val="14"/>
                <w:szCs w:val="14"/>
                <w:color w:val="auto"/>
              </w:rPr>
              <w:t>Derivative Liabilities</w:t>
            </w:r>
          </w:p>
        </w:tc>
        <w:tc>
          <w:tcPr>
            <w:tcW w:w="28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2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85"/>
        </w:trPr>
        <w:tc>
          <w:tcPr>
            <w:tcW w:w="5000" w:type="dxa"/>
            <w:vAlign w:val="bottom"/>
          </w:tcPr>
          <w:p>
            <w:pPr>
              <w:ind w:left="300"/>
              <w:spacing w:after="0"/>
              <w:rPr>
                <w:sz w:val="20"/>
                <w:szCs w:val="20"/>
                <w:color w:val="auto"/>
              </w:rPr>
            </w:pPr>
            <w:r>
              <w:rPr>
                <w:rFonts w:ascii="Arial" w:cs="Arial" w:eastAsia="Arial" w:hAnsi="Arial"/>
                <w:sz w:val="14"/>
                <w:szCs w:val="14"/>
                <w:color w:val="auto"/>
              </w:rPr>
              <w:t>Foreign currency contracts designated as cash flow hedges</w:t>
            </w:r>
          </w:p>
        </w:tc>
        <w:tc>
          <w:tcPr>
            <w:tcW w:w="2980" w:type="dxa"/>
            <w:vAlign w:val="bottom"/>
            <w:gridSpan w:val="2"/>
          </w:tcPr>
          <w:p>
            <w:pPr>
              <w:spacing w:after="0"/>
              <w:rPr>
                <w:sz w:val="20"/>
                <w:szCs w:val="20"/>
                <w:color w:val="auto"/>
              </w:rPr>
            </w:pPr>
            <w:r>
              <w:rPr>
                <w:rFonts w:ascii="Arial" w:cs="Arial" w:eastAsia="Arial" w:hAnsi="Arial"/>
                <w:sz w:val="14"/>
                <w:szCs w:val="14"/>
                <w:color w:val="auto"/>
              </w:rPr>
              <w:t>Other accrued liabilities</w:t>
            </w: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1020" w:type="dxa"/>
            <w:vAlign w:val="bottom"/>
          </w:tcPr>
          <w:p>
            <w:pPr>
              <w:jc w:val="right"/>
              <w:spacing w:after="0"/>
              <w:rPr>
                <w:sz w:val="20"/>
                <w:szCs w:val="20"/>
                <w:color w:val="auto"/>
              </w:rPr>
            </w:pPr>
            <w:r>
              <w:rPr>
                <w:rFonts w:ascii="Arial" w:cs="Arial" w:eastAsia="Arial" w:hAnsi="Arial"/>
                <w:sz w:val="14"/>
                <w:szCs w:val="14"/>
                <w:color w:val="auto"/>
              </w:rPr>
              <w:t>12</w:t>
            </w:r>
          </w:p>
        </w:tc>
        <w:tc>
          <w:tcPr>
            <w:tcW w:w="220" w:type="dxa"/>
            <w:vAlign w:val="bottom"/>
            <w:gridSpan w:val="2"/>
          </w:tcPr>
          <w:p>
            <w:pPr>
              <w:jc w:val="center"/>
              <w:spacing w:after="0"/>
              <w:rPr>
                <w:sz w:val="20"/>
                <w:szCs w:val="20"/>
                <w:color w:val="auto"/>
              </w:rPr>
            </w:pPr>
            <w:r>
              <w:rPr>
                <w:rFonts w:ascii="Arial" w:cs="Arial" w:eastAsia="Arial" w:hAnsi="Arial"/>
                <w:sz w:val="14"/>
                <w:szCs w:val="14"/>
                <w:color w:val="auto"/>
              </w:rPr>
              <w:t>$</w:t>
            </w:r>
          </w:p>
        </w:tc>
        <w:tc>
          <w:tcPr>
            <w:tcW w:w="1200" w:type="dxa"/>
            <w:vAlign w:val="bottom"/>
          </w:tcPr>
          <w:p>
            <w:pPr>
              <w:jc w:val="right"/>
              <w:ind w:right="31"/>
              <w:spacing w:after="0"/>
              <w:rPr>
                <w:sz w:val="20"/>
                <w:szCs w:val="20"/>
                <w:color w:val="auto"/>
              </w:rPr>
            </w:pPr>
            <w:r>
              <w:rPr>
                <w:rFonts w:ascii="Arial" w:cs="Arial" w:eastAsia="Arial" w:hAnsi="Arial"/>
                <w:sz w:val="14"/>
                <w:szCs w:val="14"/>
                <w:color w:val="auto"/>
              </w:rPr>
              <w:t>20</w:t>
            </w:r>
          </w:p>
        </w:tc>
        <w:tc>
          <w:tcPr>
            <w:tcW w:w="0" w:type="dxa"/>
            <w:vAlign w:val="bottom"/>
          </w:tcPr>
          <w:p>
            <w:pPr>
              <w:spacing w:after="0"/>
              <w:rPr>
                <w:sz w:val="1"/>
                <w:szCs w:val="1"/>
                <w:color w:val="auto"/>
              </w:rPr>
            </w:pPr>
          </w:p>
        </w:tc>
      </w:tr>
      <w:tr>
        <w:trPr>
          <w:trHeight w:val="187"/>
        </w:trPr>
        <w:tc>
          <w:tcPr>
            <w:tcW w:w="5000" w:type="dxa"/>
            <w:vAlign w:val="bottom"/>
            <w:shd w:val="clear" w:color="auto" w:fill="CCEEFF"/>
          </w:tcPr>
          <w:p>
            <w:pPr>
              <w:ind w:left="300"/>
              <w:spacing w:after="0"/>
              <w:rPr>
                <w:sz w:val="20"/>
                <w:szCs w:val="20"/>
                <w:color w:val="auto"/>
              </w:rPr>
            </w:pPr>
            <w:r>
              <w:rPr>
                <w:rFonts w:ascii="Arial" w:cs="Arial" w:eastAsia="Arial" w:hAnsi="Arial"/>
                <w:sz w:val="14"/>
                <w:szCs w:val="14"/>
                <w:color w:val="auto"/>
              </w:rPr>
              <w:t>Derivatives not designated as hedging instruments</w:t>
            </w:r>
          </w:p>
        </w:tc>
        <w:tc>
          <w:tcPr>
            <w:tcW w:w="2980" w:type="dxa"/>
            <w:vAlign w:val="bottom"/>
            <w:gridSpan w:val="2"/>
            <w:shd w:val="clear" w:color="auto" w:fill="CCEEFF"/>
          </w:tcPr>
          <w:p>
            <w:pPr>
              <w:spacing w:after="0"/>
              <w:rPr>
                <w:sz w:val="20"/>
                <w:szCs w:val="20"/>
                <w:color w:val="auto"/>
              </w:rPr>
            </w:pPr>
            <w:r>
              <w:rPr>
                <w:rFonts w:ascii="Arial" w:cs="Arial" w:eastAsia="Arial" w:hAnsi="Arial"/>
                <w:sz w:val="14"/>
                <w:szCs w:val="14"/>
                <w:color w:val="auto"/>
              </w:rPr>
              <w:t>Other accrued liabilities</w:t>
            </w:r>
          </w:p>
        </w:tc>
        <w:tc>
          <w:tcPr>
            <w:tcW w:w="12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5</w:t>
            </w:r>
          </w:p>
        </w:tc>
        <w:tc>
          <w:tcPr>
            <w:tcW w:w="100" w:type="dxa"/>
            <w:vAlign w:val="bottom"/>
            <w:shd w:val="clear" w:color="auto" w:fill="CCEEFF"/>
          </w:tcPr>
          <w:p>
            <w:pPr>
              <w:spacing w:after="0"/>
              <w:rPr>
                <w:sz w:val="16"/>
                <w:szCs w:val="16"/>
                <w:color w:val="auto"/>
              </w:rPr>
            </w:pPr>
          </w:p>
        </w:tc>
        <w:tc>
          <w:tcPr>
            <w:tcW w:w="120" w:type="dxa"/>
            <w:vAlign w:val="bottom"/>
            <w:tcBorders>
              <w:bottom w:val="single" w:sz="8" w:color="auto"/>
            </w:tcBorders>
            <w:shd w:val="clear" w:color="auto" w:fill="CCEEFF"/>
          </w:tcPr>
          <w:p>
            <w:pPr>
              <w:spacing w:after="0"/>
              <w:rPr>
                <w:sz w:val="16"/>
                <w:szCs w:val="16"/>
                <w:color w:val="auto"/>
              </w:rPr>
            </w:pPr>
          </w:p>
        </w:tc>
        <w:tc>
          <w:tcPr>
            <w:tcW w:w="1200" w:type="dxa"/>
            <w:vAlign w:val="bottom"/>
            <w:tcBorders>
              <w:bottom w:val="single" w:sz="8" w:color="auto"/>
            </w:tcBorders>
            <w:shd w:val="clear" w:color="auto" w:fill="CCEEFF"/>
          </w:tcPr>
          <w:p>
            <w:pPr>
              <w:jc w:val="right"/>
              <w:ind w:right="31"/>
              <w:spacing w:after="0"/>
              <w:rPr>
                <w:sz w:val="20"/>
                <w:szCs w:val="20"/>
                <w:color w:val="auto"/>
              </w:rPr>
            </w:pPr>
            <w:r>
              <w:rPr>
                <w:rFonts w:ascii="Arial" w:cs="Arial" w:eastAsia="Arial" w:hAnsi="Arial"/>
                <w:sz w:val="14"/>
                <w:szCs w:val="14"/>
                <w:color w:val="auto"/>
              </w:rPr>
              <w:t>11</w:t>
            </w:r>
          </w:p>
        </w:tc>
        <w:tc>
          <w:tcPr>
            <w:tcW w:w="0" w:type="dxa"/>
            <w:vAlign w:val="bottom"/>
          </w:tcPr>
          <w:p>
            <w:pPr>
              <w:spacing w:after="0"/>
              <w:rPr>
                <w:sz w:val="1"/>
                <w:szCs w:val="1"/>
                <w:color w:val="auto"/>
              </w:rPr>
            </w:pPr>
          </w:p>
        </w:tc>
      </w:tr>
      <w:tr>
        <w:trPr>
          <w:trHeight w:val="182"/>
        </w:trPr>
        <w:tc>
          <w:tcPr>
            <w:tcW w:w="5000" w:type="dxa"/>
            <w:vAlign w:val="bottom"/>
          </w:tcPr>
          <w:p>
            <w:pPr>
              <w:ind w:left="580"/>
              <w:spacing w:after="0"/>
              <w:rPr>
                <w:sz w:val="20"/>
                <w:szCs w:val="20"/>
                <w:color w:val="auto"/>
              </w:rPr>
            </w:pPr>
            <w:r>
              <w:rPr>
                <w:rFonts w:ascii="Arial" w:cs="Arial" w:eastAsia="Arial" w:hAnsi="Arial"/>
                <w:sz w:val="14"/>
                <w:szCs w:val="14"/>
                <w:color w:val="auto"/>
              </w:rPr>
              <w:t>Total derivative liabilities</w:t>
            </w:r>
          </w:p>
        </w:tc>
        <w:tc>
          <w:tcPr>
            <w:tcW w:w="28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1020" w:type="dxa"/>
            <w:vAlign w:val="bottom"/>
          </w:tcPr>
          <w:p>
            <w:pPr>
              <w:jc w:val="right"/>
              <w:spacing w:after="0"/>
              <w:rPr>
                <w:sz w:val="20"/>
                <w:szCs w:val="20"/>
                <w:color w:val="auto"/>
              </w:rPr>
            </w:pPr>
            <w:r>
              <w:rPr>
                <w:rFonts w:ascii="Arial" w:cs="Arial" w:eastAsia="Arial" w:hAnsi="Arial"/>
                <w:sz w:val="14"/>
                <w:szCs w:val="14"/>
                <w:color w:val="auto"/>
              </w:rPr>
              <w:t>17</w:t>
            </w:r>
          </w:p>
        </w:tc>
        <w:tc>
          <w:tcPr>
            <w:tcW w:w="220" w:type="dxa"/>
            <w:vAlign w:val="bottom"/>
            <w:gridSpan w:val="2"/>
          </w:tcPr>
          <w:p>
            <w:pPr>
              <w:jc w:val="center"/>
              <w:spacing w:after="0"/>
              <w:rPr>
                <w:sz w:val="20"/>
                <w:szCs w:val="20"/>
                <w:color w:val="auto"/>
              </w:rPr>
            </w:pPr>
            <w:r>
              <w:rPr>
                <w:rFonts w:ascii="Arial" w:cs="Arial" w:eastAsia="Arial" w:hAnsi="Arial"/>
                <w:sz w:val="14"/>
                <w:szCs w:val="14"/>
                <w:color w:val="auto"/>
              </w:rPr>
              <w:t>$</w:t>
            </w:r>
          </w:p>
        </w:tc>
        <w:tc>
          <w:tcPr>
            <w:tcW w:w="1200" w:type="dxa"/>
            <w:vAlign w:val="bottom"/>
          </w:tcPr>
          <w:p>
            <w:pPr>
              <w:jc w:val="right"/>
              <w:ind w:right="31"/>
              <w:spacing w:after="0"/>
              <w:rPr>
                <w:sz w:val="20"/>
                <w:szCs w:val="20"/>
                <w:color w:val="auto"/>
              </w:rPr>
            </w:pPr>
            <w:r>
              <w:rPr>
                <w:rFonts w:ascii="Arial" w:cs="Arial" w:eastAsia="Arial" w:hAnsi="Arial"/>
                <w:sz w:val="14"/>
                <w:szCs w:val="14"/>
                <w:color w:val="auto"/>
              </w:rPr>
              <w:t>31</w:t>
            </w:r>
          </w:p>
        </w:tc>
        <w:tc>
          <w:tcPr>
            <w:tcW w:w="0" w:type="dxa"/>
            <w:vAlign w:val="bottom"/>
          </w:tcPr>
          <w:p>
            <w:pPr>
              <w:spacing w:after="0"/>
              <w:rPr>
                <w:sz w:val="1"/>
                <w:szCs w:val="1"/>
                <w:color w:val="auto"/>
              </w:rPr>
            </w:pPr>
          </w:p>
        </w:tc>
      </w:tr>
      <w:tr>
        <w:trPr>
          <w:trHeight w:val="20"/>
        </w:trPr>
        <w:tc>
          <w:tcPr>
            <w:tcW w:w="5000" w:type="dxa"/>
            <w:vAlign w:val="bottom"/>
          </w:tcPr>
          <w:p>
            <w:pPr>
              <w:spacing w:after="0" w:line="20" w:lineRule="exact"/>
              <w:rPr>
                <w:sz w:val="1"/>
                <w:szCs w:val="1"/>
                <w:color w:val="auto"/>
              </w:rPr>
            </w:pPr>
          </w:p>
        </w:tc>
        <w:tc>
          <w:tcPr>
            <w:tcW w:w="28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jc w:val="both"/>
        <w:ind w:right="20" w:firstLine="387"/>
        <w:spacing w:after="0" w:line="263" w:lineRule="auto"/>
        <w:rPr>
          <w:sz w:val="20"/>
          <w:szCs w:val="20"/>
          <w:color w:val="auto"/>
        </w:rPr>
      </w:pPr>
      <w:r>
        <w:rPr>
          <w:rFonts w:ascii="Arial" w:cs="Arial" w:eastAsia="Arial" w:hAnsi="Arial"/>
          <w:sz w:val="15"/>
          <w:szCs w:val="15"/>
          <w:color w:val="auto"/>
        </w:rPr>
        <w:t>The effects of derivatives designated as hedging instruments on Autodesk’s Condensed Consolidated Statements of Operations were as follows for the three months ended April 30, 2023 and 2022 (amounts presented include any income tax effects):</w:t>
      </w:r>
    </w:p>
    <w:tbl>
      <w:tblPr>
        <w:tblLayout w:type="fixed"/>
        <w:tblInd w:w="0" w:type="dxa"/>
        <w:tblCellMar>
          <w:top w:w="0" w:type="dxa"/>
          <w:left w:w="0" w:type="dxa"/>
          <w:bottom w:w="0" w:type="dxa"/>
          <w:right w:w="0" w:type="dxa"/>
        </w:tblCellMar>
      </w:tblPr>
      <w:tr>
        <w:trPr>
          <w:trHeight w:val="179"/>
        </w:trPr>
        <w:tc>
          <w:tcPr>
            <w:tcW w:w="7440" w:type="dxa"/>
            <w:vAlign w:val="bottom"/>
          </w:tcPr>
          <w:p>
            <w:pPr>
              <w:spacing w:after="0"/>
              <w:rPr>
                <w:sz w:val="15"/>
                <w:szCs w:val="15"/>
                <w:color w:val="auto"/>
              </w:rPr>
            </w:pPr>
          </w:p>
        </w:tc>
        <w:tc>
          <w:tcPr>
            <w:tcW w:w="2800" w:type="dxa"/>
            <w:vAlign w:val="bottom"/>
            <w:tcBorders>
              <w:bottom w:val="single" w:sz="8" w:color="auto"/>
            </w:tcBorders>
            <w:gridSpan w:val="4"/>
          </w:tcPr>
          <w:p>
            <w:pPr>
              <w:jc w:val="right"/>
              <w:ind w:right="76"/>
              <w:spacing w:after="0"/>
              <w:rPr>
                <w:sz w:val="20"/>
                <w:szCs w:val="20"/>
                <w:color w:val="auto"/>
              </w:rPr>
            </w:pPr>
            <w:r>
              <w:rPr>
                <w:rFonts w:ascii="Arial" w:cs="Arial" w:eastAsia="Arial" w:hAnsi="Arial"/>
                <w:sz w:val="13"/>
                <w:szCs w:val="13"/>
                <w:b w:val="1"/>
                <w:bCs w:val="1"/>
                <w:color w:val="auto"/>
              </w:rPr>
              <w:t>Three Months Ended April 30,</w:t>
            </w:r>
          </w:p>
        </w:tc>
        <w:tc>
          <w:tcPr>
            <w:tcW w:w="3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7440" w:type="dxa"/>
            <w:vAlign w:val="bottom"/>
            <w:tcBorders>
              <w:bottom w:val="single" w:sz="8" w:color="CCEEFF"/>
            </w:tcBorders>
          </w:tcPr>
          <w:p>
            <w:pPr>
              <w:spacing w:after="0"/>
              <w:rPr>
                <w:sz w:val="14"/>
                <w:szCs w:val="14"/>
                <w:color w:val="auto"/>
              </w:rPr>
            </w:pPr>
          </w:p>
        </w:tc>
        <w:tc>
          <w:tcPr>
            <w:tcW w:w="116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2023</w:t>
            </w:r>
          </w:p>
        </w:tc>
        <w:tc>
          <w:tcPr>
            <w:tcW w:w="360" w:type="dxa"/>
            <w:vAlign w:val="bottom"/>
            <w:tcBorders>
              <w:bottom w:val="single" w:sz="8" w:color="auto"/>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1200" w:type="dxa"/>
            <w:vAlign w:val="bottom"/>
            <w:tcBorders>
              <w:bottom w:val="single" w:sz="8" w:color="auto"/>
            </w:tcBorders>
          </w:tcPr>
          <w:p>
            <w:pPr>
              <w:jc w:val="right"/>
              <w:ind w:right="36"/>
              <w:spacing w:after="0"/>
              <w:rPr>
                <w:sz w:val="20"/>
                <w:szCs w:val="20"/>
                <w:color w:val="auto"/>
              </w:rPr>
            </w:pPr>
            <w:r>
              <w:rPr>
                <w:rFonts w:ascii="Arial" w:cs="Arial" w:eastAsia="Arial" w:hAnsi="Arial"/>
                <w:sz w:val="13"/>
                <w:szCs w:val="13"/>
                <w:b w:val="1"/>
                <w:bCs w:val="1"/>
                <w:color w:val="auto"/>
              </w:rPr>
              <w:t>2022</w:t>
            </w:r>
          </w:p>
        </w:tc>
        <w:tc>
          <w:tcPr>
            <w:tcW w:w="34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9"/>
        </w:trPr>
        <w:tc>
          <w:tcPr>
            <w:tcW w:w="7440" w:type="dxa"/>
            <w:vAlign w:val="bottom"/>
            <w:shd w:val="clear" w:color="auto" w:fill="CCEEFF"/>
          </w:tcPr>
          <w:p>
            <w:pPr>
              <w:ind w:left="20"/>
              <w:spacing w:after="0"/>
              <w:rPr>
                <w:sz w:val="20"/>
                <w:szCs w:val="20"/>
                <w:color w:val="auto"/>
              </w:rPr>
            </w:pPr>
            <w:r>
              <w:rPr>
                <w:rFonts w:ascii="Arial" w:cs="Arial" w:eastAsia="Arial" w:hAnsi="Arial"/>
                <w:sz w:val="14"/>
                <w:szCs w:val="14"/>
                <w:color w:val="auto"/>
              </w:rPr>
              <w:t>Amount of (loss) gain recognized in accumulated other comprehensive income, net of tax,</w:t>
            </w:r>
            <w:r>
              <w:rPr>
                <w:rFonts w:ascii="Arial" w:cs="Arial" w:eastAsia="Arial" w:hAnsi="Arial"/>
                <w:sz w:val="14"/>
                <w:szCs w:val="14"/>
                <w:color w:val="auto"/>
                <w:shd w:val="clear" w:color="auto" w:fill="CCEEFF"/>
              </w:rPr>
              <w:t>(effective portion)</w:t>
            </w:r>
          </w:p>
        </w:tc>
        <w:tc>
          <w:tcPr>
            <w:tcW w:w="1160" w:type="dxa"/>
            <w:vAlign w:val="bottom"/>
            <w:shd w:val="clear" w:color="auto" w:fill="CCEEFF"/>
          </w:tcPr>
          <w:p>
            <w:pPr>
              <w:jc w:val="right"/>
              <w:ind w:right="632"/>
              <w:spacing w:after="0"/>
              <w:rPr>
                <w:sz w:val="20"/>
                <w:szCs w:val="20"/>
                <w:color w:val="auto"/>
              </w:rPr>
            </w:pPr>
            <w:r>
              <w:rPr>
                <w:rFonts w:ascii="Arial" w:cs="Arial" w:eastAsia="Arial" w:hAnsi="Arial"/>
                <w:sz w:val="14"/>
                <w:szCs w:val="14"/>
                <w:color w:val="auto"/>
              </w:rPr>
              <w:t>$</w:t>
            </w:r>
          </w:p>
        </w:tc>
        <w:tc>
          <w:tcPr>
            <w:tcW w:w="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w:t>
            </w:r>
          </w:p>
        </w:tc>
        <w:tc>
          <w:tcPr>
            <w:tcW w:w="1280" w:type="dxa"/>
            <w:vAlign w:val="bottom"/>
            <w:gridSpan w:val="2"/>
            <w:shd w:val="clear" w:color="auto" w:fill="CCEEFF"/>
          </w:tcPr>
          <w:p>
            <w:pPr>
              <w:jc w:val="right"/>
              <w:ind w:right="656"/>
              <w:spacing w:after="0"/>
              <w:rPr>
                <w:sz w:val="20"/>
                <w:szCs w:val="20"/>
                <w:color w:val="auto"/>
              </w:rPr>
            </w:pPr>
            <w:r>
              <w:rPr>
                <w:rFonts w:ascii="Arial" w:cs="Arial" w:eastAsia="Arial" w:hAnsi="Arial"/>
                <w:sz w:val="14"/>
                <w:szCs w:val="14"/>
                <w:color w:val="auto"/>
              </w:rPr>
              <w:t>$</w:t>
            </w:r>
          </w:p>
        </w:tc>
        <w:tc>
          <w:tcPr>
            <w:tcW w:w="3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55</w:t>
            </w:r>
          </w:p>
        </w:tc>
        <w:tc>
          <w:tcPr>
            <w:tcW w:w="0" w:type="dxa"/>
            <w:vAlign w:val="bottom"/>
          </w:tcPr>
          <w:p>
            <w:pPr>
              <w:spacing w:after="0"/>
              <w:rPr>
                <w:sz w:val="1"/>
                <w:szCs w:val="1"/>
                <w:color w:val="auto"/>
              </w:rPr>
            </w:pPr>
          </w:p>
        </w:tc>
      </w:tr>
      <w:tr>
        <w:trPr>
          <w:trHeight w:val="20"/>
        </w:trPr>
        <w:tc>
          <w:tcPr>
            <w:tcW w:w="7440" w:type="dxa"/>
            <w:vAlign w:val="bottom"/>
            <w:tcBorders>
              <w:top w:val="single" w:sz="8" w:color="CCEEFF"/>
              <w:bottom w:val="single" w:sz="8" w:color="CCEEFF"/>
            </w:tcBorders>
            <w:vMerge w:val="restart"/>
          </w:tcPr>
          <w:p>
            <w:pPr>
              <w:ind w:left="20"/>
              <w:spacing w:after="0" w:line="127" w:lineRule="exact"/>
              <w:rPr>
                <w:sz w:val="20"/>
                <w:szCs w:val="20"/>
                <w:color w:val="auto"/>
              </w:rPr>
            </w:pPr>
            <w:r>
              <w:rPr>
                <w:rFonts w:ascii="Arial" w:cs="Arial" w:eastAsia="Arial" w:hAnsi="Arial"/>
                <w:sz w:val="14"/>
                <w:szCs w:val="14"/>
                <w:color w:val="auto"/>
              </w:rPr>
              <w:t>Amount and location of gain (loss) reclassified from accumulated other comprehensive loss into income (effective</w:t>
            </w:r>
          </w:p>
        </w:tc>
        <w:tc>
          <w:tcPr>
            <w:tcW w:w="11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87"/>
        </w:trPr>
        <w:tc>
          <w:tcPr>
            <w:tcW w:w="7440" w:type="dxa"/>
            <w:vAlign w:val="bottom"/>
            <w:vMerge w:val="continue"/>
          </w:tcPr>
          <w:p>
            <w:pPr>
              <w:spacing w:after="0"/>
              <w:rPr>
                <w:sz w:val="7"/>
                <w:szCs w:val="7"/>
                <w:color w:val="auto"/>
              </w:rPr>
            </w:pPr>
          </w:p>
        </w:tc>
        <w:tc>
          <w:tcPr>
            <w:tcW w:w="1160" w:type="dxa"/>
            <w:vAlign w:val="bottom"/>
          </w:tcPr>
          <w:p>
            <w:pPr>
              <w:spacing w:after="0"/>
              <w:rPr>
                <w:sz w:val="7"/>
                <w:szCs w:val="7"/>
                <w:color w:val="auto"/>
              </w:rPr>
            </w:pPr>
          </w:p>
        </w:tc>
        <w:tc>
          <w:tcPr>
            <w:tcW w:w="360" w:type="dxa"/>
            <w:vAlign w:val="bottom"/>
          </w:tcPr>
          <w:p>
            <w:pPr>
              <w:spacing w:after="0"/>
              <w:rPr>
                <w:sz w:val="7"/>
                <w:szCs w:val="7"/>
                <w:color w:val="auto"/>
              </w:rPr>
            </w:pPr>
          </w:p>
        </w:tc>
        <w:tc>
          <w:tcPr>
            <w:tcW w:w="80" w:type="dxa"/>
            <w:vAlign w:val="bottom"/>
          </w:tcPr>
          <w:p>
            <w:pPr>
              <w:spacing w:after="0"/>
              <w:rPr>
                <w:sz w:val="7"/>
                <w:szCs w:val="7"/>
                <w:color w:val="auto"/>
              </w:rPr>
            </w:pPr>
          </w:p>
        </w:tc>
        <w:tc>
          <w:tcPr>
            <w:tcW w:w="1200" w:type="dxa"/>
            <w:vAlign w:val="bottom"/>
          </w:tcPr>
          <w:p>
            <w:pPr>
              <w:spacing w:after="0"/>
              <w:rPr>
                <w:sz w:val="7"/>
                <w:szCs w:val="7"/>
                <w:color w:val="auto"/>
              </w:rPr>
            </w:pPr>
          </w:p>
        </w:tc>
        <w:tc>
          <w:tcPr>
            <w:tcW w:w="3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2"/>
        </w:trPr>
        <w:tc>
          <w:tcPr>
            <w:tcW w:w="7440" w:type="dxa"/>
            <w:vAlign w:val="bottom"/>
          </w:tcPr>
          <w:p>
            <w:pPr>
              <w:ind w:left="160"/>
              <w:spacing w:after="0"/>
              <w:rPr>
                <w:sz w:val="20"/>
                <w:szCs w:val="20"/>
                <w:color w:val="auto"/>
              </w:rPr>
            </w:pPr>
            <w:r>
              <w:rPr>
                <w:rFonts w:ascii="Arial" w:cs="Arial" w:eastAsia="Arial" w:hAnsi="Arial"/>
                <w:sz w:val="14"/>
                <w:szCs w:val="14"/>
                <w:color w:val="auto"/>
              </w:rPr>
              <w:t>portion)</w:t>
            </w:r>
          </w:p>
        </w:tc>
        <w:tc>
          <w:tcPr>
            <w:tcW w:w="116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0"/>
        </w:trPr>
        <w:tc>
          <w:tcPr>
            <w:tcW w:w="7440" w:type="dxa"/>
            <w:vAlign w:val="bottom"/>
            <w:shd w:val="clear" w:color="auto" w:fill="CCEEFF"/>
          </w:tcPr>
          <w:p>
            <w:pPr>
              <w:ind w:left="680"/>
              <w:spacing w:after="0"/>
              <w:rPr>
                <w:sz w:val="20"/>
                <w:szCs w:val="20"/>
                <w:color w:val="auto"/>
              </w:rPr>
            </w:pPr>
            <w:r>
              <w:rPr>
                <w:rFonts w:ascii="Arial" w:cs="Arial" w:eastAsia="Arial" w:hAnsi="Arial"/>
                <w:sz w:val="14"/>
                <w:szCs w:val="14"/>
                <w:color w:val="auto"/>
              </w:rPr>
              <w:t>Net revenue</w:t>
            </w:r>
          </w:p>
        </w:tc>
        <w:tc>
          <w:tcPr>
            <w:tcW w:w="1160" w:type="dxa"/>
            <w:vAlign w:val="bottom"/>
            <w:shd w:val="clear" w:color="auto" w:fill="CCEEFF"/>
          </w:tcPr>
          <w:p>
            <w:pPr>
              <w:jc w:val="right"/>
              <w:ind w:right="632"/>
              <w:spacing w:after="0"/>
              <w:rPr>
                <w:sz w:val="20"/>
                <w:szCs w:val="20"/>
                <w:color w:val="auto"/>
              </w:rPr>
            </w:pPr>
            <w:r>
              <w:rPr>
                <w:rFonts w:ascii="Arial" w:cs="Arial" w:eastAsia="Arial" w:hAnsi="Arial"/>
                <w:sz w:val="14"/>
                <w:szCs w:val="14"/>
                <w:color w:val="auto"/>
              </w:rPr>
              <w:t>$</w:t>
            </w:r>
          </w:p>
        </w:tc>
        <w:tc>
          <w:tcPr>
            <w:tcW w:w="36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20</w:t>
            </w:r>
          </w:p>
        </w:tc>
        <w:tc>
          <w:tcPr>
            <w:tcW w:w="1280" w:type="dxa"/>
            <w:vAlign w:val="bottom"/>
            <w:gridSpan w:val="2"/>
            <w:shd w:val="clear" w:color="auto" w:fill="CCEEFF"/>
          </w:tcPr>
          <w:p>
            <w:pPr>
              <w:jc w:val="right"/>
              <w:ind w:right="656"/>
              <w:spacing w:after="0"/>
              <w:rPr>
                <w:sz w:val="20"/>
                <w:szCs w:val="20"/>
                <w:color w:val="auto"/>
              </w:rPr>
            </w:pPr>
            <w:r>
              <w:rPr>
                <w:rFonts w:ascii="Arial" w:cs="Arial" w:eastAsia="Arial" w:hAnsi="Arial"/>
                <w:sz w:val="14"/>
                <w:szCs w:val="14"/>
                <w:color w:val="auto"/>
              </w:rPr>
              <w:t>$</w:t>
            </w:r>
          </w:p>
        </w:tc>
        <w:tc>
          <w:tcPr>
            <w:tcW w:w="34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6</w:t>
            </w:r>
          </w:p>
        </w:tc>
        <w:tc>
          <w:tcPr>
            <w:tcW w:w="0" w:type="dxa"/>
            <w:vAlign w:val="bottom"/>
          </w:tcPr>
          <w:p>
            <w:pPr>
              <w:spacing w:after="0"/>
              <w:rPr>
                <w:sz w:val="1"/>
                <w:szCs w:val="1"/>
                <w:color w:val="auto"/>
              </w:rPr>
            </w:pPr>
          </w:p>
        </w:tc>
      </w:tr>
      <w:tr>
        <w:trPr>
          <w:trHeight w:val="185"/>
        </w:trPr>
        <w:tc>
          <w:tcPr>
            <w:tcW w:w="7440" w:type="dxa"/>
            <w:vAlign w:val="bottom"/>
          </w:tcPr>
          <w:p>
            <w:pPr>
              <w:ind w:left="680"/>
              <w:spacing w:after="0"/>
              <w:rPr>
                <w:sz w:val="20"/>
                <w:szCs w:val="20"/>
                <w:color w:val="auto"/>
              </w:rPr>
            </w:pPr>
            <w:r>
              <w:rPr>
                <w:rFonts w:ascii="Arial" w:cs="Arial" w:eastAsia="Arial" w:hAnsi="Arial"/>
                <w:sz w:val="14"/>
                <w:szCs w:val="14"/>
                <w:color w:val="auto"/>
              </w:rPr>
              <w:t>Cost of revenue</w:t>
            </w:r>
          </w:p>
        </w:tc>
        <w:tc>
          <w:tcPr>
            <w:tcW w:w="116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340" w:type="dxa"/>
            <w:vAlign w:val="bottom"/>
          </w:tcPr>
          <w:p>
            <w:pPr>
              <w:jc w:val="right"/>
              <w:spacing w:after="0"/>
              <w:rPr>
                <w:sz w:val="20"/>
                <w:szCs w:val="20"/>
                <w:color w:val="auto"/>
              </w:rPr>
            </w:pPr>
            <w:r>
              <w:rPr>
                <w:rFonts w:ascii="Arial" w:cs="Arial" w:eastAsia="Arial" w:hAnsi="Arial"/>
                <w:sz w:val="14"/>
                <w:szCs w:val="14"/>
                <w:color w:val="auto"/>
              </w:rPr>
              <w:t>(1)</w:t>
            </w:r>
          </w:p>
        </w:tc>
        <w:tc>
          <w:tcPr>
            <w:tcW w:w="0" w:type="dxa"/>
            <w:vAlign w:val="bottom"/>
          </w:tcPr>
          <w:p>
            <w:pPr>
              <w:spacing w:after="0"/>
              <w:rPr>
                <w:sz w:val="1"/>
                <w:szCs w:val="1"/>
                <w:color w:val="auto"/>
              </w:rPr>
            </w:pPr>
          </w:p>
        </w:tc>
      </w:tr>
      <w:tr>
        <w:trPr>
          <w:trHeight w:val="187"/>
        </w:trPr>
        <w:tc>
          <w:tcPr>
            <w:tcW w:w="7440" w:type="dxa"/>
            <w:vAlign w:val="bottom"/>
            <w:shd w:val="clear" w:color="auto" w:fill="CCEEFF"/>
          </w:tcPr>
          <w:p>
            <w:pPr>
              <w:ind w:left="680"/>
              <w:spacing w:after="0"/>
              <w:rPr>
                <w:sz w:val="20"/>
                <w:szCs w:val="20"/>
                <w:color w:val="auto"/>
              </w:rPr>
            </w:pPr>
            <w:r>
              <w:rPr>
                <w:rFonts w:ascii="Arial" w:cs="Arial" w:eastAsia="Arial" w:hAnsi="Arial"/>
                <w:sz w:val="14"/>
                <w:szCs w:val="14"/>
                <w:color w:val="auto"/>
              </w:rPr>
              <w:t>Operating expenses</w:t>
            </w:r>
          </w:p>
        </w:tc>
        <w:tc>
          <w:tcPr>
            <w:tcW w:w="1160" w:type="dxa"/>
            <w:vAlign w:val="bottom"/>
            <w:tcBorders>
              <w:bottom w:val="single" w:sz="8" w:color="auto"/>
            </w:tcBorders>
            <w:shd w:val="clear" w:color="auto" w:fill="CCEEFF"/>
          </w:tcPr>
          <w:p>
            <w:pPr>
              <w:spacing w:after="0"/>
              <w:rPr>
                <w:sz w:val="16"/>
                <w:szCs w:val="16"/>
                <w:color w:val="auto"/>
              </w:rPr>
            </w:pPr>
          </w:p>
        </w:tc>
        <w:tc>
          <w:tcPr>
            <w:tcW w:w="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80" w:type="dxa"/>
            <w:vAlign w:val="bottom"/>
            <w:shd w:val="clear" w:color="auto" w:fill="CCEEFF"/>
          </w:tcPr>
          <w:p>
            <w:pPr>
              <w:spacing w:after="0"/>
              <w:rPr>
                <w:sz w:val="16"/>
                <w:szCs w:val="16"/>
                <w:color w:val="auto"/>
              </w:rPr>
            </w:pPr>
          </w:p>
        </w:tc>
        <w:tc>
          <w:tcPr>
            <w:tcW w:w="1200" w:type="dxa"/>
            <w:vAlign w:val="bottom"/>
            <w:tcBorders>
              <w:bottom w:val="single" w:sz="8" w:color="auto"/>
            </w:tcBorders>
            <w:shd w:val="clear" w:color="auto" w:fill="CCEEFF"/>
          </w:tcPr>
          <w:p>
            <w:pPr>
              <w:spacing w:after="0"/>
              <w:rPr>
                <w:sz w:val="16"/>
                <w:szCs w:val="16"/>
                <w:color w:val="auto"/>
              </w:rPr>
            </w:pPr>
          </w:p>
        </w:tc>
        <w:tc>
          <w:tcPr>
            <w:tcW w:w="3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(3)</w:t>
            </w:r>
          </w:p>
        </w:tc>
        <w:tc>
          <w:tcPr>
            <w:tcW w:w="0" w:type="dxa"/>
            <w:vAlign w:val="bottom"/>
          </w:tcPr>
          <w:p>
            <w:pPr>
              <w:spacing w:after="0"/>
              <w:rPr>
                <w:sz w:val="1"/>
                <w:szCs w:val="1"/>
                <w:color w:val="auto"/>
              </w:rPr>
            </w:pPr>
          </w:p>
        </w:tc>
      </w:tr>
      <w:tr>
        <w:trPr>
          <w:trHeight w:val="182"/>
        </w:trPr>
        <w:tc>
          <w:tcPr>
            <w:tcW w:w="7440" w:type="dxa"/>
            <w:vAlign w:val="bottom"/>
          </w:tcPr>
          <w:p>
            <w:pPr>
              <w:ind w:left="960"/>
              <w:spacing w:after="0"/>
              <w:rPr>
                <w:sz w:val="20"/>
                <w:szCs w:val="20"/>
                <w:color w:val="auto"/>
              </w:rPr>
            </w:pPr>
            <w:r>
              <w:rPr>
                <w:rFonts w:ascii="Arial" w:cs="Arial" w:eastAsia="Arial" w:hAnsi="Arial"/>
                <w:sz w:val="14"/>
                <w:szCs w:val="14"/>
                <w:color w:val="auto"/>
              </w:rPr>
              <w:t>Total</w:t>
            </w:r>
          </w:p>
        </w:tc>
        <w:tc>
          <w:tcPr>
            <w:tcW w:w="1160" w:type="dxa"/>
            <w:vAlign w:val="bottom"/>
          </w:tcPr>
          <w:p>
            <w:pPr>
              <w:jc w:val="right"/>
              <w:ind w:right="632"/>
              <w:spacing w:after="0"/>
              <w:rPr>
                <w:sz w:val="20"/>
                <w:szCs w:val="20"/>
                <w:color w:val="auto"/>
              </w:rPr>
            </w:pPr>
            <w:r>
              <w:rPr>
                <w:rFonts w:ascii="Arial" w:cs="Arial" w:eastAsia="Arial" w:hAnsi="Arial"/>
                <w:sz w:val="14"/>
                <w:szCs w:val="14"/>
                <w:color w:val="auto"/>
              </w:rPr>
              <w:t>$</w:t>
            </w:r>
          </w:p>
        </w:tc>
        <w:tc>
          <w:tcPr>
            <w:tcW w:w="360" w:type="dxa"/>
            <w:vAlign w:val="bottom"/>
          </w:tcPr>
          <w:p>
            <w:pPr>
              <w:jc w:val="right"/>
              <w:ind w:right="10"/>
              <w:spacing w:after="0"/>
              <w:rPr>
                <w:sz w:val="20"/>
                <w:szCs w:val="20"/>
                <w:color w:val="auto"/>
              </w:rPr>
            </w:pPr>
            <w:r>
              <w:rPr>
                <w:rFonts w:ascii="Arial" w:cs="Arial" w:eastAsia="Arial" w:hAnsi="Arial"/>
                <w:sz w:val="14"/>
                <w:szCs w:val="14"/>
                <w:color w:val="auto"/>
              </w:rPr>
              <w:t>22</w:t>
            </w:r>
          </w:p>
        </w:tc>
        <w:tc>
          <w:tcPr>
            <w:tcW w:w="1280" w:type="dxa"/>
            <w:vAlign w:val="bottom"/>
            <w:gridSpan w:val="2"/>
          </w:tcPr>
          <w:p>
            <w:pPr>
              <w:jc w:val="right"/>
              <w:ind w:right="656"/>
              <w:spacing w:after="0"/>
              <w:rPr>
                <w:sz w:val="20"/>
                <w:szCs w:val="20"/>
                <w:color w:val="auto"/>
              </w:rPr>
            </w:pPr>
            <w:r>
              <w:rPr>
                <w:rFonts w:ascii="Arial" w:cs="Arial" w:eastAsia="Arial" w:hAnsi="Arial"/>
                <w:sz w:val="14"/>
                <w:szCs w:val="14"/>
                <w:color w:val="auto"/>
              </w:rPr>
              <w:t>$</w:t>
            </w:r>
          </w:p>
        </w:tc>
        <w:tc>
          <w:tcPr>
            <w:tcW w:w="340" w:type="dxa"/>
            <w:vAlign w:val="bottom"/>
          </w:tcPr>
          <w:p>
            <w:pPr>
              <w:jc w:val="right"/>
              <w:ind w:right="10"/>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20"/>
        </w:trPr>
        <w:tc>
          <w:tcPr>
            <w:tcW w:w="7440" w:type="dxa"/>
            <w:vAlign w:val="bottom"/>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ind w:right="280" w:firstLine="387"/>
        <w:spacing w:after="0" w:line="257" w:lineRule="auto"/>
        <w:rPr>
          <w:sz w:val="20"/>
          <w:szCs w:val="20"/>
          <w:color w:val="auto"/>
        </w:rPr>
      </w:pPr>
      <w:r>
        <w:rPr>
          <w:rFonts w:ascii="Arial" w:cs="Arial" w:eastAsia="Arial" w:hAnsi="Arial"/>
          <w:sz w:val="15"/>
          <w:szCs w:val="15"/>
          <w:color w:val="auto"/>
        </w:rPr>
        <w:t>The amount and location of gain recognized in net income of derivatives not designated as hedging instruments on Autodesk’s Condensed Consolidated Statements of Operations were as follows for the three months ended April 30, 2023 and 2022, (amounts presented include any income tax effects):</w:t>
      </w:r>
    </w:p>
    <w:p>
      <w:pPr>
        <w:ind w:left="8300"/>
        <w:spacing w:after="0"/>
        <w:rPr>
          <w:sz w:val="20"/>
          <w:szCs w:val="20"/>
          <w:color w:val="auto"/>
        </w:rPr>
      </w:pPr>
      <w:r>
        <w:rPr>
          <w:rFonts w:ascii="Arial" w:cs="Arial" w:eastAsia="Arial" w:hAnsi="Arial"/>
          <w:sz w:val="13"/>
          <w:szCs w:val="13"/>
          <w:b w:val="1"/>
          <w:bCs w:val="1"/>
          <w:color w:val="auto"/>
        </w:rPr>
        <w:t>Three Months Ended April 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4726305</wp:posOffset>
            </wp:positionH>
            <wp:positionV relativeFrom="paragraph">
              <wp:posOffset>19050</wp:posOffset>
            </wp:positionV>
            <wp:extent cx="1986280" cy="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1986280" cy="7620"/>
                    </a:xfrm>
                    <a:prstGeom prst="rect">
                      <a:avLst/>
                    </a:prstGeom>
                    <a:noFill/>
                  </pic:spPr>
                </pic:pic>
              </a:graphicData>
            </a:graphic>
          </wp:anchor>
        </w:drawing>
      </w:r>
    </w:p>
    <w:p>
      <w:pPr>
        <w:spacing w:after="0" w:line="18" w:lineRule="exact"/>
        <w:rPr>
          <w:sz w:val="20"/>
          <w:szCs w:val="20"/>
          <w:color w:val="auto"/>
        </w:rPr>
      </w:pPr>
    </w:p>
    <w:p>
      <w:pPr>
        <w:ind w:left="8260"/>
        <w:spacing w:after="0"/>
        <w:tabs>
          <w:tab w:leader="none" w:pos="9840" w:val="left"/>
        </w:tabs>
        <w:rPr>
          <w:sz w:val="20"/>
          <w:szCs w:val="20"/>
          <w:color w:val="auto"/>
        </w:rPr>
      </w:pPr>
      <w:r>
        <w:rPr>
          <w:rFonts w:ascii="Arial" w:cs="Arial" w:eastAsia="Arial" w:hAnsi="Arial"/>
          <w:sz w:val="13"/>
          <w:szCs w:val="13"/>
          <w:b w:val="1"/>
          <w:bCs w:val="1"/>
          <w:color w:val="auto"/>
        </w:rPr>
        <w:t>2023</w:t>
      </w:r>
      <w:r>
        <w:rPr>
          <w:sz w:val="20"/>
          <w:szCs w:val="20"/>
          <w:color w:val="auto"/>
        </w:rPr>
        <w:tab/>
      </w:r>
      <w:r>
        <w:rPr>
          <w:rFonts w:ascii="Arial" w:cs="Arial" w:eastAsia="Arial" w:hAnsi="Arial"/>
          <w:sz w:val="13"/>
          <w:szCs w:val="13"/>
          <w:b w:val="1"/>
          <w:bCs w:val="1"/>
          <w:color w:val="auto"/>
        </w:rPr>
        <w:t>2022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wp:posOffset>
            </wp:positionH>
            <wp:positionV relativeFrom="paragraph">
              <wp:posOffset>19050</wp:posOffset>
            </wp:positionV>
            <wp:extent cx="6710680" cy="12636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6710680" cy="126365"/>
                    </a:xfrm>
                    <a:prstGeom prst="rect">
                      <a:avLst/>
                    </a:prstGeom>
                    <a:noFill/>
                  </pic:spPr>
                </pic:pic>
              </a:graphicData>
            </a:graphic>
          </wp:anchor>
        </w:drawing>
      </w:r>
    </w:p>
    <w:p>
      <w:pPr>
        <w:spacing w:after="0" w:line="25" w:lineRule="exact"/>
        <w:rPr>
          <w:sz w:val="20"/>
          <w:szCs w:val="20"/>
          <w:color w:val="auto"/>
        </w:rPr>
      </w:pPr>
    </w:p>
    <w:p>
      <w:pPr>
        <w:ind w:left="680"/>
        <w:spacing w:after="0"/>
        <w:tabs>
          <w:tab w:leader="none" w:pos="7820" w:val="left"/>
          <w:tab w:leader="none" w:pos="8800" w:val="left"/>
          <w:tab w:leader="none" w:pos="9420" w:val="left"/>
          <w:tab w:leader="none" w:pos="10320" w:val="left"/>
        </w:tabs>
        <w:rPr>
          <w:sz w:val="20"/>
          <w:szCs w:val="20"/>
          <w:color w:val="auto"/>
        </w:rPr>
      </w:pPr>
      <w:r>
        <w:rPr>
          <w:rFonts w:ascii="Arial" w:cs="Arial" w:eastAsia="Arial" w:hAnsi="Arial"/>
          <w:sz w:val="14"/>
          <w:szCs w:val="14"/>
          <w:color w:val="auto"/>
        </w:rPr>
        <w:t>Interest and other income (expense), net</w:t>
      </w:r>
      <w:r>
        <w:rPr>
          <w:sz w:val="20"/>
          <w:szCs w:val="20"/>
          <w:color w:val="auto"/>
        </w:rPr>
        <w:tab/>
      </w:r>
      <w:r>
        <w:rPr>
          <w:rFonts w:ascii="Arial" w:cs="Arial" w:eastAsia="Arial" w:hAnsi="Arial"/>
          <w:sz w:val="14"/>
          <w:szCs w:val="14"/>
          <w:color w:val="auto"/>
        </w:rPr>
        <w:t>$</w:t>
      </w:r>
      <w:r>
        <w:rPr>
          <w:sz w:val="20"/>
          <w:szCs w:val="20"/>
          <w:color w:val="auto"/>
        </w:rPr>
        <w:tab/>
      </w:r>
      <w:r>
        <w:rPr>
          <w:rFonts w:ascii="Arial" w:cs="Arial" w:eastAsia="Arial" w:hAnsi="Arial"/>
          <w:sz w:val="14"/>
          <w:szCs w:val="14"/>
          <w:color w:val="auto"/>
        </w:rPr>
        <w:t>2</w:t>
      </w:r>
      <w:r>
        <w:rPr>
          <w:sz w:val="20"/>
          <w:szCs w:val="20"/>
          <w:color w:val="auto"/>
        </w:rPr>
        <w:tab/>
      </w:r>
      <w:r>
        <w:rPr>
          <w:rFonts w:ascii="Arial" w:cs="Arial" w:eastAsia="Arial" w:hAnsi="Arial"/>
          <w:sz w:val="14"/>
          <w:szCs w:val="14"/>
          <w:color w:val="auto"/>
        </w:rPr>
        <w:t>$</w:t>
      </w:r>
      <w:r>
        <w:rPr>
          <w:sz w:val="20"/>
          <w:szCs w:val="20"/>
          <w:color w:val="auto"/>
        </w:rPr>
        <w:tab/>
      </w:r>
      <w:r>
        <w:rPr>
          <w:rFonts w:ascii="Arial" w:cs="Arial" w:eastAsia="Arial" w:hAnsi="Arial"/>
          <w:sz w:val="14"/>
          <w:szCs w:val="14"/>
          <w:color w:val="auto"/>
        </w:rPr>
        <w:t>24</w:t>
      </w:r>
    </w:p>
    <w:p>
      <w:pPr>
        <w:spacing w:after="0" w:line="303"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Foreign currency contracts designated as cash flow hedges</w:t>
      </w:r>
    </w:p>
    <w:p>
      <w:pPr>
        <w:spacing w:after="0" w:line="232" w:lineRule="exact"/>
        <w:rPr>
          <w:sz w:val="20"/>
          <w:szCs w:val="20"/>
          <w:color w:val="auto"/>
        </w:rPr>
      </w:pPr>
    </w:p>
    <w:p>
      <w:pPr>
        <w:ind w:right="80" w:firstLine="351"/>
        <w:spacing w:after="0" w:line="251" w:lineRule="auto"/>
        <w:rPr>
          <w:sz w:val="20"/>
          <w:szCs w:val="20"/>
          <w:color w:val="auto"/>
        </w:rPr>
      </w:pPr>
      <w:r>
        <w:rPr>
          <w:rFonts w:ascii="Arial" w:cs="Arial" w:eastAsia="Arial" w:hAnsi="Arial"/>
          <w:sz w:val="15"/>
          <w:szCs w:val="15"/>
          <w:color w:val="auto"/>
        </w:rPr>
        <w:t>Autodesk uses foreign currency contracts to reduce the exchange rate impact on a portion of the net revenue or operating expense of certain anticipated transactions. These currency collars and forward contracts are designated and documented as cash flow hedges. The notional amounts of these contracts are presented net settled and were $990 million at April 30, 2023, and $934 million at January 31, 2023. Outstanding contracts are recognized as either assets or liabilities on the Company's Condensed Consolidated Balance Sheet at fair value. The majority of the net gain of $51 million remaining in “Accumulated other comprehensive loss” as of April 30, 2023, is expected to be recognized into earnings within the next 24 months.</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24" w:name="page25"/>
    <w:bookmarkEnd w:id="24"/>
    <w:p>
      <w:pPr>
        <w:ind w:right="60" w:firstLine="351"/>
        <w:spacing w:after="0" w:line="257" w:lineRule="auto"/>
        <w:rPr>
          <w:sz w:val="20"/>
          <w:szCs w:val="20"/>
          <w:color w:val="auto"/>
        </w:rPr>
      </w:pPr>
      <w:r>
        <w:rPr>
          <w:rFonts w:ascii="Arial" w:cs="Arial" w:eastAsia="Arial" w:hAnsi="Arial"/>
          <w:sz w:val="15"/>
          <w:szCs w:val="15"/>
          <w:color w:val="auto"/>
        </w:rPr>
        <w:t>The location and amount of gain or loss recognized in income on cash flow hedges together with the total amount of income or expense presented in the Company's Condensed Consolidated Statements of Operations where the effects of the hedge are recorded were as follows for the three months ended April 30, 2023 and 2022:</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60" w:type="dxa"/>
            <w:vAlign w:val="bottom"/>
          </w:tcPr>
          <w:p>
            <w:pPr>
              <w:spacing w:after="0"/>
              <w:rPr>
                <w:sz w:val="15"/>
                <w:szCs w:val="15"/>
                <w:color w:val="auto"/>
              </w:rPr>
            </w:pPr>
          </w:p>
        </w:tc>
        <w:tc>
          <w:tcPr>
            <w:tcW w:w="2740" w:type="dxa"/>
            <w:vAlign w:val="bottom"/>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260" w:type="dxa"/>
            <w:vAlign w:val="bottom"/>
            <w:tcBorders>
              <w:bottom w:val="single" w:sz="8" w:color="auto"/>
            </w:tcBorders>
            <w:gridSpan w:val="6"/>
          </w:tcPr>
          <w:p>
            <w:pPr>
              <w:jc w:val="right"/>
              <w:ind w:right="12"/>
              <w:spacing w:after="0"/>
              <w:rPr>
                <w:sz w:val="20"/>
                <w:szCs w:val="20"/>
                <w:color w:val="auto"/>
              </w:rPr>
            </w:pPr>
            <w:r>
              <w:rPr>
                <w:rFonts w:ascii="Arial" w:cs="Arial" w:eastAsia="Arial" w:hAnsi="Arial"/>
                <w:sz w:val="13"/>
                <w:szCs w:val="13"/>
                <w:b w:val="1"/>
                <w:bCs w:val="1"/>
                <w:color w:val="auto"/>
                <w:w w:val="99"/>
              </w:rPr>
              <w:t>Three Months Ended April 30, 2023</w:t>
            </w:r>
          </w:p>
        </w:tc>
        <w:tc>
          <w:tcPr>
            <w:tcW w:w="2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100" w:type="dxa"/>
            <w:vAlign w:val="bottom"/>
            <w:tcBorders>
              <w:bottom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60" w:type="dxa"/>
            <w:vAlign w:val="bottom"/>
          </w:tcPr>
          <w:p>
            <w:pPr>
              <w:spacing w:after="0"/>
              <w:rPr>
                <w:sz w:val="14"/>
                <w:szCs w:val="14"/>
                <w:color w:val="auto"/>
              </w:rPr>
            </w:pPr>
          </w:p>
        </w:tc>
        <w:tc>
          <w:tcPr>
            <w:tcW w:w="2740" w:type="dxa"/>
            <w:vAlign w:val="bottom"/>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2360" w:type="dxa"/>
            <w:vAlign w:val="bottom"/>
            <w:tcBorders>
              <w:bottom w:val="single" w:sz="8" w:color="auto"/>
            </w:tcBorders>
            <w:gridSpan w:val="6"/>
          </w:tcPr>
          <w:p>
            <w:pPr>
              <w:jc w:val="right"/>
              <w:ind w:right="833"/>
              <w:spacing w:after="0"/>
              <w:rPr>
                <w:sz w:val="20"/>
                <w:szCs w:val="20"/>
                <w:color w:val="auto"/>
              </w:rPr>
            </w:pPr>
            <w:r>
              <w:rPr>
                <w:rFonts w:ascii="Arial" w:cs="Arial" w:eastAsia="Arial" w:hAnsi="Arial"/>
                <w:sz w:val="13"/>
                <w:szCs w:val="13"/>
                <w:b w:val="1"/>
                <w:bCs w:val="1"/>
                <w:color w:val="auto"/>
              </w:rPr>
              <w:t>Net revenue</w:t>
            </w: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jc w:val="center"/>
              <w:ind w:right="54"/>
              <w:spacing w:after="0"/>
              <w:rPr>
                <w:sz w:val="20"/>
                <w:szCs w:val="20"/>
                <w:color w:val="auto"/>
              </w:rPr>
            </w:pPr>
            <w:r>
              <w:rPr>
                <w:rFonts w:ascii="Arial" w:cs="Arial" w:eastAsia="Arial" w:hAnsi="Arial"/>
                <w:sz w:val="13"/>
                <w:szCs w:val="13"/>
                <w:b w:val="1"/>
                <w:bCs w:val="1"/>
                <w:color w:val="auto"/>
                <w:w w:val="99"/>
              </w:rPr>
              <w:t>Cost of revenue</w:t>
            </w: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960" w:type="dxa"/>
            <w:vAlign w:val="bottom"/>
            <w:tcBorders>
              <w:bottom w:val="single" w:sz="8" w:color="auto"/>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1300" w:type="dxa"/>
            <w:vAlign w:val="bottom"/>
            <w:tcBorders>
              <w:bottom w:val="single" w:sz="8" w:color="auto"/>
            </w:tcBorders>
            <w:gridSpan w:val="4"/>
          </w:tcPr>
          <w:p>
            <w:pPr>
              <w:ind w:left="80"/>
              <w:spacing w:after="0"/>
              <w:rPr>
                <w:sz w:val="20"/>
                <w:szCs w:val="20"/>
                <w:color w:val="auto"/>
              </w:rPr>
            </w:pPr>
            <w:r>
              <w:rPr>
                <w:rFonts w:ascii="Arial" w:cs="Arial" w:eastAsia="Arial" w:hAnsi="Arial"/>
                <w:sz w:val="13"/>
                <w:szCs w:val="13"/>
                <w:b w:val="1"/>
                <w:bCs w:val="1"/>
                <w:color w:val="auto"/>
                <w:w w:val="96"/>
              </w:rPr>
              <w:t>Operating expenses</w:t>
            </w:r>
          </w:p>
        </w:tc>
        <w:tc>
          <w:tcPr>
            <w:tcW w:w="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1"/>
        </w:trPr>
        <w:tc>
          <w:tcPr>
            <w:tcW w:w="60" w:type="dxa"/>
            <w:vAlign w:val="bottom"/>
          </w:tcPr>
          <w:p>
            <w:pPr>
              <w:spacing w:after="0"/>
              <w:rPr>
                <w:sz w:val="10"/>
                <w:szCs w:val="10"/>
                <w:color w:val="auto"/>
              </w:rPr>
            </w:pPr>
          </w:p>
        </w:tc>
        <w:tc>
          <w:tcPr>
            <w:tcW w:w="27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100" w:type="dxa"/>
            <w:vAlign w:val="bottom"/>
          </w:tcPr>
          <w:p>
            <w:pPr>
              <w:jc w:val="center"/>
              <w:ind w:right="74"/>
              <w:spacing w:after="0" w:line="121" w:lineRule="exact"/>
              <w:rPr>
                <w:sz w:val="20"/>
                <w:szCs w:val="20"/>
                <w:color w:val="auto"/>
              </w:rPr>
            </w:pPr>
            <w:r>
              <w:rPr>
                <w:rFonts w:ascii="Arial" w:cs="Arial" w:eastAsia="Arial" w:hAnsi="Arial"/>
                <w:sz w:val="13"/>
                <w:szCs w:val="13"/>
                <w:b w:val="1"/>
                <w:bCs w:val="1"/>
                <w:color w:val="auto"/>
                <w:w w:val="98"/>
              </w:rPr>
              <w:t>Cost of</w:t>
            </w: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9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1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60" w:type="dxa"/>
            <w:vAlign w:val="bottom"/>
          </w:tcPr>
          <w:p>
            <w:pPr>
              <w:spacing w:after="0"/>
              <w:rPr>
                <w:sz w:val="11"/>
                <w:szCs w:val="11"/>
                <w:color w:val="auto"/>
              </w:rPr>
            </w:pPr>
          </w:p>
        </w:tc>
        <w:tc>
          <w:tcPr>
            <w:tcW w:w="27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vMerge w:val="restart"/>
          </w:tcPr>
          <w:p>
            <w:pPr>
              <w:jc w:val="right"/>
              <w:ind w:right="133"/>
              <w:spacing w:after="0"/>
              <w:rPr>
                <w:sz w:val="20"/>
                <w:szCs w:val="20"/>
                <w:color w:val="auto"/>
              </w:rPr>
            </w:pPr>
            <w:r>
              <w:rPr>
                <w:rFonts w:ascii="Arial" w:cs="Arial" w:eastAsia="Arial" w:hAnsi="Arial"/>
                <w:sz w:val="13"/>
                <w:szCs w:val="13"/>
                <w:b w:val="1"/>
                <w:bCs w:val="1"/>
                <w:color w:val="auto"/>
              </w:rPr>
              <w:t>Subscription</w:t>
            </w: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40" w:type="dxa"/>
            <w:vAlign w:val="bottom"/>
            <w:vMerge w:val="restart"/>
          </w:tcPr>
          <w:p>
            <w:pPr>
              <w:jc w:val="right"/>
              <w:ind w:right="173"/>
              <w:spacing w:after="0"/>
              <w:rPr>
                <w:sz w:val="20"/>
                <w:szCs w:val="20"/>
                <w:color w:val="auto"/>
              </w:rPr>
            </w:pPr>
            <w:r>
              <w:rPr>
                <w:rFonts w:ascii="Arial" w:cs="Arial" w:eastAsia="Arial" w:hAnsi="Arial"/>
                <w:sz w:val="13"/>
                <w:szCs w:val="13"/>
                <w:b w:val="1"/>
                <w:bCs w:val="1"/>
                <w:color w:val="auto"/>
                <w:w w:val="98"/>
              </w:rPr>
              <w:t>Maintenance</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80" w:type="dxa"/>
            <w:vAlign w:val="bottom"/>
            <w:gridSpan w:val="2"/>
          </w:tcPr>
          <w:p>
            <w:pPr>
              <w:jc w:val="center"/>
              <w:spacing w:after="0" w:line="129" w:lineRule="exact"/>
              <w:rPr>
                <w:sz w:val="20"/>
                <w:szCs w:val="20"/>
                <w:color w:val="auto"/>
              </w:rPr>
            </w:pPr>
            <w:r>
              <w:rPr>
                <w:rFonts w:ascii="Arial" w:cs="Arial" w:eastAsia="Arial" w:hAnsi="Arial"/>
                <w:sz w:val="13"/>
                <w:szCs w:val="13"/>
                <w:b w:val="1"/>
                <w:bCs w:val="1"/>
                <w:color w:val="auto"/>
                <w:w w:val="99"/>
              </w:rPr>
              <w:t>subscription and</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40" w:type="dxa"/>
            <w:vAlign w:val="bottom"/>
            <w:gridSpan w:val="2"/>
            <w:vMerge w:val="restart"/>
          </w:tcPr>
          <w:p>
            <w:pPr>
              <w:jc w:val="right"/>
              <w:ind w:right="32"/>
              <w:spacing w:after="0"/>
              <w:rPr>
                <w:sz w:val="20"/>
                <w:szCs w:val="20"/>
                <w:color w:val="auto"/>
              </w:rPr>
            </w:pPr>
            <w:r>
              <w:rPr>
                <w:rFonts w:ascii="Arial" w:cs="Arial" w:eastAsia="Arial" w:hAnsi="Arial"/>
                <w:sz w:val="13"/>
                <w:szCs w:val="13"/>
                <w:b w:val="1"/>
                <w:bCs w:val="1"/>
                <w:color w:val="auto"/>
              </w:rPr>
              <w:t>Marketing and</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0" w:type="dxa"/>
            <w:vAlign w:val="bottom"/>
            <w:gridSpan w:val="3"/>
            <w:vMerge w:val="restart"/>
          </w:tcPr>
          <w:p>
            <w:pPr>
              <w:ind w:left="60"/>
              <w:spacing w:after="0"/>
              <w:rPr>
                <w:sz w:val="20"/>
                <w:szCs w:val="20"/>
                <w:color w:val="auto"/>
              </w:rPr>
            </w:pPr>
            <w:r>
              <w:rPr>
                <w:rFonts w:ascii="Arial" w:cs="Arial" w:eastAsia="Arial" w:hAnsi="Arial"/>
                <w:sz w:val="13"/>
                <w:szCs w:val="13"/>
                <w:b w:val="1"/>
                <w:bCs w:val="1"/>
                <w:color w:val="auto"/>
              </w:rPr>
              <w:t>Research and</w:t>
            </w: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100" w:type="dxa"/>
            <w:vAlign w:val="bottom"/>
            <w:vMerge w:val="restart"/>
          </w:tcPr>
          <w:p>
            <w:pPr>
              <w:jc w:val="right"/>
              <w:ind w:right="193"/>
              <w:spacing w:after="0"/>
              <w:rPr>
                <w:sz w:val="20"/>
                <w:szCs w:val="20"/>
                <w:color w:val="auto"/>
              </w:rPr>
            </w:pPr>
            <w:r>
              <w:rPr>
                <w:rFonts w:ascii="Arial" w:cs="Arial" w:eastAsia="Arial" w:hAnsi="Arial"/>
                <w:sz w:val="13"/>
                <w:szCs w:val="13"/>
                <w:b w:val="1"/>
                <w:bCs w:val="1"/>
                <w:color w:val="auto"/>
              </w:rPr>
              <w:t>General and</w:t>
            </w: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60" w:type="dxa"/>
            <w:vAlign w:val="bottom"/>
          </w:tcPr>
          <w:p>
            <w:pPr>
              <w:spacing w:after="0"/>
              <w:rPr>
                <w:sz w:val="11"/>
                <w:szCs w:val="11"/>
                <w:color w:val="auto"/>
              </w:rPr>
            </w:pPr>
          </w:p>
        </w:tc>
        <w:tc>
          <w:tcPr>
            <w:tcW w:w="27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40" w:type="dxa"/>
            <w:vAlign w:val="bottom"/>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100" w:type="dxa"/>
            <w:vAlign w:val="bottom"/>
          </w:tcPr>
          <w:p>
            <w:pPr>
              <w:jc w:val="center"/>
              <w:ind w:right="74"/>
              <w:spacing w:after="0" w:line="129" w:lineRule="exact"/>
              <w:rPr>
                <w:sz w:val="20"/>
                <w:szCs w:val="20"/>
                <w:color w:val="auto"/>
              </w:rPr>
            </w:pPr>
            <w:r>
              <w:rPr>
                <w:rFonts w:ascii="Arial" w:cs="Arial" w:eastAsia="Arial" w:hAnsi="Arial"/>
                <w:sz w:val="13"/>
                <w:szCs w:val="13"/>
                <w:b w:val="1"/>
                <w:bCs w:val="1"/>
                <w:color w:val="auto"/>
              </w:rPr>
              <w:t>maintenance</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40" w:type="dxa"/>
            <w:vAlign w:val="bottom"/>
            <w:gridSpan w:val="2"/>
            <w:vMerge w:val="continue"/>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100" w:type="dxa"/>
            <w:vAlign w:val="bottom"/>
            <w:vMerge w:val="continue"/>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60" w:type="dxa"/>
            <w:vAlign w:val="bottom"/>
          </w:tcPr>
          <w:p>
            <w:pPr>
              <w:spacing w:after="0"/>
              <w:rPr>
                <w:sz w:val="15"/>
                <w:szCs w:val="15"/>
                <w:color w:val="auto"/>
              </w:rPr>
            </w:pPr>
          </w:p>
        </w:tc>
        <w:tc>
          <w:tcPr>
            <w:tcW w:w="27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020" w:type="dxa"/>
            <w:vAlign w:val="bottom"/>
          </w:tcPr>
          <w:p>
            <w:pPr>
              <w:jc w:val="right"/>
              <w:ind w:right="273"/>
              <w:spacing w:after="0"/>
              <w:rPr>
                <w:sz w:val="20"/>
                <w:szCs w:val="20"/>
                <w:color w:val="auto"/>
              </w:rPr>
            </w:pPr>
            <w:r>
              <w:rPr>
                <w:rFonts w:ascii="Arial" w:cs="Arial" w:eastAsia="Arial" w:hAnsi="Arial"/>
                <w:sz w:val="13"/>
                <w:szCs w:val="13"/>
                <w:b w:val="1"/>
                <w:bCs w:val="1"/>
                <w:color w:val="auto"/>
              </w:rPr>
              <w:t>revenue</w:t>
            </w: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040" w:type="dxa"/>
            <w:vAlign w:val="bottom"/>
          </w:tcPr>
          <w:p>
            <w:pPr>
              <w:jc w:val="right"/>
              <w:ind w:right="313"/>
              <w:spacing w:after="0"/>
              <w:rPr>
                <w:sz w:val="20"/>
                <w:szCs w:val="20"/>
                <w:color w:val="auto"/>
              </w:rPr>
            </w:pPr>
            <w:r>
              <w:rPr>
                <w:rFonts w:ascii="Arial" w:cs="Arial" w:eastAsia="Arial" w:hAnsi="Arial"/>
                <w:sz w:val="13"/>
                <w:szCs w:val="13"/>
                <w:b w:val="1"/>
                <w:bCs w:val="1"/>
                <w:color w:val="auto"/>
              </w:rPr>
              <w:t>revenue</w:t>
            </w: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100" w:type="dxa"/>
            <w:vAlign w:val="bottom"/>
          </w:tcPr>
          <w:p>
            <w:pPr>
              <w:jc w:val="center"/>
              <w:ind w:right="74"/>
              <w:spacing w:after="0"/>
              <w:rPr>
                <w:sz w:val="20"/>
                <w:szCs w:val="20"/>
                <w:color w:val="auto"/>
              </w:rPr>
            </w:pPr>
            <w:r>
              <w:rPr>
                <w:rFonts w:ascii="Arial" w:cs="Arial" w:eastAsia="Arial" w:hAnsi="Arial"/>
                <w:sz w:val="13"/>
                <w:szCs w:val="13"/>
                <w:b w:val="1"/>
                <w:bCs w:val="1"/>
                <w:color w:val="auto"/>
                <w:w w:val="96"/>
              </w:rPr>
              <w:t>revenue</w:t>
            </w: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960" w:type="dxa"/>
            <w:vAlign w:val="bottom"/>
          </w:tcPr>
          <w:p>
            <w:pPr>
              <w:jc w:val="right"/>
              <w:ind w:right="292"/>
              <w:spacing w:after="0"/>
              <w:rPr>
                <w:sz w:val="20"/>
                <w:szCs w:val="20"/>
                <w:color w:val="auto"/>
              </w:rPr>
            </w:pPr>
            <w:r>
              <w:rPr>
                <w:rFonts w:ascii="Arial" w:cs="Arial" w:eastAsia="Arial" w:hAnsi="Arial"/>
                <w:sz w:val="13"/>
                <w:szCs w:val="13"/>
                <w:b w:val="1"/>
                <w:bCs w:val="1"/>
                <w:color w:val="auto"/>
              </w:rPr>
              <w:t>sales</w:t>
            </w: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00" w:type="dxa"/>
            <w:vAlign w:val="bottom"/>
            <w:gridSpan w:val="3"/>
          </w:tcPr>
          <w:p>
            <w:pPr>
              <w:ind w:left="100"/>
              <w:spacing w:after="0"/>
              <w:rPr>
                <w:sz w:val="20"/>
                <w:szCs w:val="20"/>
                <w:color w:val="auto"/>
              </w:rPr>
            </w:pPr>
            <w:r>
              <w:rPr>
                <w:rFonts w:ascii="Arial" w:cs="Arial" w:eastAsia="Arial" w:hAnsi="Arial"/>
                <w:sz w:val="13"/>
                <w:szCs w:val="13"/>
                <w:b w:val="1"/>
                <w:bCs w:val="1"/>
                <w:color w:val="auto"/>
              </w:rPr>
              <w:t>development</w:t>
            </w:r>
          </w:p>
        </w:tc>
        <w:tc>
          <w:tcPr>
            <w:tcW w:w="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100" w:type="dxa"/>
            <w:vAlign w:val="bottom"/>
          </w:tcPr>
          <w:p>
            <w:pPr>
              <w:jc w:val="right"/>
              <w:ind w:right="133"/>
              <w:spacing w:after="0"/>
              <w:rPr>
                <w:sz w:val="20"/>
                <w:szCs w:val="20"/>
                <w:color w:val="auto"/>
              </w:rPr>
            </w:pPr>
            <w:r>
              <w:rPr>
                <w:rFonts w:ascii="Arial" w:cs="Arial" w:eastAsia="Arial" w:hAnsi="Arial"/>
                <w:sz w:val="13"/>
                <w:szCs w:val="13"/>
                <w:b w:val="1"/>
                <w:bCs w:val="1"/>
                <w:color w:val="auto"/>
                <w:w w:val="99"/>
              </w:rPr>
              <w:t>administrative</w:t>
            </w: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4"/>
        </w:trPr>
        <w:tc>
          <w:tcPr>
            <w:tcW w:w="2800" w:type="dxa"/>
            <w:vAlign w:val="bottom"/>
            <w:tcBorders>
              <w:top w:val="single" w:sz="8" w:color="CCEEFF"/>
            </w:tcBorders>
            <w:gridSpan w:val="2"/>
            <w:shd w:val="clear" w:color="auto" w:fill="CCEEFF"/>
          </w:tcPr>
          <w:p>
            <w:pPr>
              <w:ind w:left="20"/>
              <w:spacing w:after="0" w:line="124" w:lineRule="exact"/>
              <w:rPr>
                <w:sz w:val="20"/>
                <w:szCs w:val="20"/>
                <w:color w:val="auto"/>
              </w:rPr>
            </w:pPr>
            <w:r>
              <w:rPr>
                <w:rFonts w:ascii="Arial" w:cs="Arial" w:eastAsia="Arial" w:hAnsi="Arial"/>
                <w:sz w:val="14"/>
                <w:szCs w:val="14"/>
                <w:color w:val="auto"/>
              </w:rPr>
              <w:t>Total amounts of income and expense line</w:t>
            </w:r>
          </w:p>
        </w:tc>
        <w:tc>
          <w:tcPr>
            <w:tcW w:w="60" w:type="dxa"/>
            <w:vAlign w:val="bottom"/>
            <w:tcBorders>
              <w:top w:val="single" w:sz="8" w:color="auto"/>
            </w:tcBorders>
            <w:shd w:val="clear" w:color="auto" w:fill="CCEEFF"/>
          </w:tcPr>
          <w:p>
            <w:pPr>
              <w:spacing w:after="0"/>
              <w:rPr>
                <w:sz w:val="10"/>
                <w:szCs w:val="10"/>
                <w:color w:val="auto"/>
              </w:rPr>
            </w:pPr>
          </w:p>
        </w:tc>
        <w:tc>
          <w:tcPr>
            <w:tcW w:w="100" w:type="dxa"/>
            <w:vAlign w:val="bottom"/>
            <w:tcBorders>
              <w:top w:val="single" w:sz="8" w:color="auto"/>
            </w:tcBorders>
            <w:shd w:val="clear" w:color="auto" w:fill="CCEEFF"/>
          </w:tcPr>
          <w:p>
            <w:pPr>
              <w:spacing w:after="0"/>
              <w:rPr>
                <w:sz w:val="10"/>
                <w:szCs w:val="10"/>
                <w:color w:val="auto"/>
              </w:rPr>
            </w:pPr>
          </w:p>
        </w:tc>
        <w:tc>
          <w:tcPr>
            <w:tcW w:w="1020" w:type="dxa"/>
            <w:vAlign w:val="bottom"/>
            <w:tcBorders>
              <w:top w:val="single" w:sz="8" w:color="auto"/>
            </w:tcBorders>
            <w:shd w:val="clear" w:color="auto" w:fill="CCEEFF"/>
          </w:tcPr>
          <w:p>
            <w:pPr>
              <w:spacing w:after="0"/>
              <w:rPr>
                <w:sz w:val="10"/>
                <w:szCs w:val="10"/>
                <w:color w:val="auto"/>
              </w:rPr>
            </w:pPr>
          </w:p>
        </w:tc>
        <w:tc>
          <w:tcPr>
            <w:tcW w:w="80" w:type="dxa"/>
            <w:vAlign w:val="bottom"/>
            <w:tcBorders>
              <w:top w:val="single" w:sz="8" w:color="CCEEFF"/>
            </w:tcBorders>
            <w:shd w:val="clear" w:color="auto" w:fill="CCEEFF"/>
          </w:tcPr>
          <w:p>
            <w:pPr>
              <w:spacing w:after="0"/>
              <w:rPr>
                <w:sz w:val="10"/>
                <w:szCs w:val="10"/>
                <w:color w:val="auto"/>
              </w:rPr>
            </w:pPr>
          </w:p>
        </w:tc>
        <w:tc>
          <w:tcPr>
            <w:tcW w:w="20" w:type="dxa"/>
            <w:vAlign w:val="bottom"/>
            <w:tcBorders>
              <w:top w:val="single" w:sz="8" w:color="CCEEFF"/>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120" w:type="dxa"/>
            <w:vAlign w:val="bottom"/>
            <w:tcBorders>
              <w:top w:val="single" w:sz="8" w:color="auto"/>
            </w:tcBorders>
            <w:shd w:val="clear" w:color="auto" w:fill="CCEEFF"/>
          </w:tcPr>
          <w:p>
            <w:pPr>
              <w:spacing w:after="0"/>
              <w:rPr>
                <w:sz w:val="10"/>
                <w:szCs w:val="10"/>
                <w:color w:val="auto"/>
              </w:rPr>
            </w:pPr>
          </w:p>
        </w:tc>
        <w:tc>
          <w:tcPr>
            <w:tcW w:w="1040" w:type="dxa"/>
            <w:vAlign w:val="bottom"/>
            <w:tcBorders>
              <w:top w:val="single" w:sz="8" w:color="auto"/>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60" w:type="dxa"/>
            <w:vAlign w:val="bottom"/>
            <w:tcBorders>
              <w:top w:val="single" w:sz="8" w:color="auto"/>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110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CCEEFF"/>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auto"/>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96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CCEEFF"/>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auto"/>
            </w:tcBorders>
            <w:shd w:val="clear" w:color="auto" w:fill="CCEEFF"/>
          </w:tcPr>
          <w:p>
            <w:pPr>
              <w:spacing w:after="0"/>
              <w:rPr>
                <w:sz w:val="10"/>
                <w:szCs w:val="10"/>
                <w:color w:val="auto"/>
              </w:rPr>
            </w:pPr>
          </w:p>
        </w:tc>
        <w:tc>
          <w:tcPr>
            <w:tcW w:w="100" w:type="dxa"/>
            <w:vAlign w:val="bottom"/>
            <w:tcBorders>
              <w:top w:val="single" w:sz="8" w:color="auto"/>
            </w:tcBorders>
            <w:shd w:val="clear" w:color="auto" w:fill="CCEEFF"/>
          </w:tcPr>
          <w:p>
            <w:pPr>
              <w:spacing w:after="0"/>
              <w:rPr>
                <w:sz w:val="10"/>
                <w:szCs w:val="10"/>
                <w:color w:val="auto"/>
              </w:rPr>
            </w:pPr>
          </w:p>
        </w:tc>
        <w:tc>
          <w:tcPr>
            <w:tcW w:w="112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CCEEFF"/>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auto"/>
            </w:tcBorders>
            <w:shd w:val="clear" w:color="auto" w:fill="CCEEFF"/>
          </w:tcPr>
          <w:p>
            <w:pPr>
              <w:spacing w:after="0"/>
              <w:rPr>
                <w:sz w:val="10"/>
                <w:szCs w:val="10"/>
                <w:color w:val="auto"/>
              </w:rPr>
            </w:pPr>
          </w:p>
        </w:tc>
        <w:tc>
          <w:tcPr>
            <w:tcW w:w="120" w:type="dxa"/>
            <w:vAlign w:val="bottom"/>
            <w:tcBorders>
              <w:top w:val="single" w:sz="8" w:color="auto"/>
            </w:tcBorders>
            <w:shd w:val="clear" w:color="auto" w:fill="CCEEFF"/>
          </w:tcPr>
          <w:p>
            <w:pPr>
              <w:spacing w:after="0"/>
              <w:rPr>
                <w:sz w:val="10"/>
                <w:szCs w:val="10"/>
                <w:color w:val="auto"/>
              </w:rPr>
            </w:pPr>
          </w:p>
        </w:tc>
        <w:tc>
          <w:tcPr>
            <w:tcW w:w="1100" w:type="dxa"/>
            <w:vAlign w:val="bottom"/>
            <w:tcBorders>
              <w:top w:val="single" w:sz="8" w:color="auto"/>
            </w:tcBorders>
            <w:shd w:val="clear" w:color="auto" w:fill="CCEEFF"/>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1"/>
        </w:trPr>
        <w:tc>
          <w:tcPr>
            <w:tcW w:w="60" w:type="dxa"/>
            <w:vAlign w:val="bottom"/>
            <w:shd w:val="clear" w:color="auto" w:fill="CCEEFF"/>
          </w:tcPr>
          <w:p>
            <w:pPr>
              <w:spacing w:after="0"/>
              <w:rPr>
                <w:sz w:val="12"/>
                <w:szCs w:val="12"/>
                <w:color w:val="auto"/>
              </w:rPr>
            </w:pPr>
          </w:p>
        </w:tc>
        <w:tc>
          <w:tcPr>
            <w:tcW w:w="2740" w:type="dxa"/>
            <w:vAlign w:val="bottom"/>
            <w:shd w:val="clear" w:color="auto" w:fill="CCEEFF"/>
          </w:tcPr>
          <w:p>
            <w:pPr>
              <w:ind w:left="100"/>
              <w:spacing w:after="0" w:line="141" w:lineRule="exact"/>
              <w:rPr>
                <w:sz w:val="20"/>
                <w:szCs w:val="20"/>
                <w:color w:val="auto"/>
              </w:rPr>
            </w:pPr>
            <w:r>
              <w:rPr>
                <w:rFonts w:ascii="Arial" w:cs="Arial" w:eastAsia="Arial" w:hAnsi="Arial"/>
                <w:sz w:val="14"/>
                <w:szCs w:val="14"/>
                <w:color w:val="auto"/>
              </w:rPr>
              <w:t>items presented in the condensed</w:t>
            </w:r>
          </w:p>
        </w:tc>
        <w:tc>
          <w:tcPr>
            <w:tcW w:w="160" w:type="dxa"/>
            <w:vAlign w:val="bottom"/>
            <w:gridSpan w:val="2"/>
            <w:vMerge w:val="restart"/>
            <w:shd w:val="clear" w:color="auto" w:fill="CCEEFF"/>
          </w:tcPr>
          <w:p>
            <w:pPr>
              <w:jc w:val="right"/>
              <w:ind w:right="80"/>
              <w:spacing w:after="0"/>
              <w:rPr>
                <w:sz w:val="20"/>
                <w:szCs w:val="20"/>
                <w:color w:val="auto"/>
              </w:rPr>
            </w:pPr>
            <w:r>
              <w:rPr>
                <w:rFonts w:ascii="Arial" w:cs="Arial" w:eastAsia="Arial" w:hAnsi="Arial"/>
                <w:sz w:val="14"/>
                <w:szCs w:val="14"/>
                <w:color w:val="auto"/>
                <w:w w:val="76"/>
              </w:rPr>
              <w:t>$</w:t>
            </w:r>
          </w:p>
        </w:tc>
        <w:tc>
          <w:tcPr>
            <w:tcW w:w="1020" w:type="dxa"/>
            <w:vAlign w:val="bottom"/>
            <w:vMerge w:val="restart"/>
            <w:shd w:val="clear" w:color="auto" w:fill="CCEEFF"/>
          </w:tcPr>
          <w:p>
            <w:pPr>
              <w:jc w:val="right"/>
              <w:ind w:right="73"/>
              <w:spacing w:after="0"/>
              <w:rPr>
                <w:sz w:val="20"/>
                <w:szCs w:val="20"/>
                <w:color w:val="auto"/>
              </w:rPr>
            </w:pPr>
            <w:r>
              <w:rPr>
                <w:rFonts w:ascii="Arial" w:cs="Arial" w:eastAsia="Arial" w:hAnsi="Arial"/>
                <w:sz w:val="14"/>
                <w:szCs w:val="14"/>
                <w:color w:val="auto"/>
              </w:rPr>
              <w:t>1,193</w:t>
            </w:r>
          </w:p>
        </w:tc>
        <w:tc>
          <w:tcPr>
            <w:tcW w:w="300" w:type="dxa"/>
            <w:vAlign w:val="bottom"/>
            <w:gridSpan w:val="4"/>
            <w:vMerge w:val="restart"/>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1040" w:type="dxa"/>
            <w:vAlign w:val="bottom"/>
            <w:vMerge w:val="restart"/>
            <w:shd w:val="clear" w:color="auto" w:fill="CCEEFF"/>
          </w:tcPr>
          <w:p>
            <w:pPr>
              <w:jc w:val="right"/>
              <w:ind w:right="93"/>
              <w:spacing w:after="0"/>
              <w:rPr>
                <w:sz w:val="20"/>
                <w:szCs w:val="20"/>
                <w:color w:val="auto"/>
              </w:rPr>
            </w:pPr>
            <w:r>
              <w:rPr>
                <w:rFonts w:ascii="Arial" w:cs="Arial" w:eastAsia="Arial" w:hAnsi="Arial"/>
                <w:sz w:val="14"/>
                <w:szCs w:val="14"/>
                <w:color w:val="auto"/>
              </w:rPr>
              <w:t>14</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94"/>
              <w:spacing w:after="0"/>
              <w:rPr>
                <w:sz w:val="20"/>
                <w:szCs w:val="20"/>
                <w:color w:val="auto"/>
              </w:rPr>
            </w:pPr>
            <w:r>
              <w:rPr>
                <w:rFonts w:ascii="Arial" w:cs="Arial" w:eastAsia="Arial" w:hAnsi="Arial"/>
                <w:sz w:val="14"/>
                <w:szCs w:val="14"/>
                <w:color w:val="auto"/>
              </w:rPr>
              <w:t>96</w:t>
            </w:r>
          </w:p>
        </w:tc>
        <w:tc>
          <w:tcPr>
            <w:tcW w:w="20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960" w:type="dxa"/>
            <w:vAlign w:val="bottom"/>
            <w:vMerge w:val="restart"/>
            <w:shd w:val="clear" w:color="auto" w:fill="CCEEFF"/>
          </w:tcPr>
          <w:p>
            <w:pPr>
              <w:jc w:val="right"/>
              <w:ind w:right="72"/>
              <w:spacing w:after="0"/>
              <w:rPr>
                <w:sz w:val="20"/>
                <w:szCs w:val="20"/>
                <w:color w:val="auto"/>
              </w:rPr>
            </w:pPr>
            <w:r>
              <w:rPr>
                <w:rFonts w:ascii="Arial" w:cs="Arial" w:eastAsia="Arial" w:hAnsi="Arial"/>
                <w:sz w:val="14"/>
                <w:szCs w:val="14"/>
                <w:color w:val="auto"/>
              </w:rPr>
              <w:t>456</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20" w:type="dxa"/>
            <w:vAlign w:val="bottom"/>
            <w:vMerge w:val="restart"/>
            <w:shd w:val="clear" w:color="auto" w:fill="CCEEFF"/>
          </w:tcPr>
          <w:p>
            <w:pPr>
              <w:jc w:val="right"/>
              <w:ind w:right="93"/>
              <w:spacing w:after="0"/>
              <w:rPr>
                <w:sz w:val="20"/>
                <w:szCs w:val="20"/>
                <w:color w:val="auto"/>
              </w:rPr>
            </w:pPr>
            <w:r>
              <w:rPr>
                <w:rFonts w:ascii="Arial" w:cs="Arial" w:eastAsia="Arial" w:hAnsi="Arial"/>
                <w:sz w:val="14"/>
                <w:szCs w:val="14"/>
                <w:color w:val="auto"/>
              </w:rPr>
              <w:t>327</w:t>
            </w: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160" w:type="dxa"/>
            <w:vAlign w:val="bottom"/>
            <w:gridSpan w:val="2"/>
            <w:vMerge w:val="restart"/>
            <w:shd w:val="clear" w:color="auto" w:fill="CCEEFF"/>
          </w:tcPr>
          <w:p>
            <w:pPr>
              <w:jc w:val="right"/>
              <w:ind w:right="80"/>
              <w:spacing w:after="0"/>
              <w:rPr>
                <w:sz w:val="20"/>
                <w:szCs w:val="20"/>
                <w:color w:val="auto"/>
              </w:rPr>
            </w:pPr>
            <w:r>
              <w:rPr>
                <w:rFonts w:ascii="Arial" w:cs="Arial" w:eastAsia="Arial" w:hAnsi="Arial"/>
                <w:sz w:val="14"/>
                <w:szCs w:val="14"/>
                <w:color w:val="auto"/>
                <w:w w:val="76"/>
              </w:rPr>
              <w:t>$</w:t>
            </w:r>
          </w:p>
        </w:tc>
        <w:tc>
          <w:tcPr>
            <w:tcW w:w="1100" w:type="dxa"/>
            <w:vAlign w:val="bottom"/>
            <w:vMerge w:val="restart"/>
            <w:shd w:val="clear" w:color="auto" w:fill="CCEEFF"/>
          </w:tcPr>
          <w:p>
            <w:pPr>
              <w:jc w:val="right"/>
              <w:ind w:right="73"/>
              <w:spacing w:after="0"/>
              <w:rPr>
                <w:sz w:val="20"/>
                <w:szCs w:val="20"/>
                <w:color w:val="auto"/>
              </w:rPr>
            </w:pPr>
            <w:r>
              <w:rPr>
                <w:rFonts w:ascii="Arial" w:cs="Arial" w:eastAsia="Arial" w:hAnsi="Arial"/>
                <w:sz w:val="14"/>
                <w:szCs w:val="14"/>
                <w:color w:val="auto"/>
              </w:rPr>
              <w:t>132</w:t>
            </w: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4"/>
        </w:trPr>
        <w:tc>
          <w:tcPr>
            <w:tcW w:w="60" w:type="dxa"/>
            <w:vAlign w:val="bottom"/>
            <w:shd w:val="clear" w:color="auto" w:fill="CCEEFF"/>
          </w:tcPr>
          <w:p>
            <w:pPr>
              <w:spacing w:after="0"/>
              <w:rPr>
                <w:sz w:val="16"/>
                <w:szCs w:val="16"/>
                <w:color w:val="auto"/>
              </w:rPr>
            </w:pPr>
          </w:p>
        </w:tc>
        <w:tc>
          <w:tcPr>
            <w:tcW w:w="2740" w:type="dxa"/>
            <w:vAlign w:val="bottom"/>
            <w:shd w:val="clear" w:color="auto" w:fill="CCEEFF"/>
          </w:tcPr>
          <w:p>
            <w:pPr>
              <w:ind w:left="100"/>
              <w:spacing w:after="0"/>
              <w:rPr>
                <w:sz w:val="20"/>
                <w:szCs w:val="20"/>
                <w:color w:val="auto"/>
              </w:rPr>
            </w:pPr>
            <w:r>
              <w:rPr>
                <w:rFonts w:ascii="Arial" w:cs="Arial" w:eastAsia="Arial" w:hAnsi="Arial"/>
                <w:sz w:val="14"/>
                <w:szCs w:val="14"/>
                <w:color w:val="auto"/>
              </w:rPr>
              <w:t>consolidated statements of operations</w:t>
            </w:r>
          </w:p>
        </w:tc>
        <w:tc>
          <w:tcPr>
            <w:tcW w:w="160" w:type="dxa"/>
            <w:vAlign w:val="bottom"/>
            <w:gridSpan w:val="2"/>
            <w:vMerge w:val="continue"/>
            <w:shd w:val="clear" w:color="auto" w:fill="CCEEFF"/>
          </w:tcPr>
          <w:p>
            <w:pPr>
              <w:spacing w:after="0"/>
              <w:rPr>
                <w:sz w:val="16"/>
                <w:szCs w:val="16"/>
                <w:color w:val="auto"/>
              </w:rPr>
            </w:pPr>
          </w:p>
        </w:tc>
        <w:tc>
          <w:tcPr>
            <w:tcW w:w="1020" w:type="dxa"/>
            <w:vAlign w:val="bottom"/>
            <w:vMerge w:val="continue"/>
            <w:shd w:val="clear" w:color="auto" w:fill="CCEEFF"/>
          </w:tcPr>
          <w:p>
            <w:pPr>
              <w:spacing w:after="0"/>
              <w:rPr>
                <w:sz w:val="16"/>
                <w:szCs w:val="16"/>
                <w:color w:val="auto"/>
              </w:rPr>
            </w:pPr>
          </w:p>
        </w:tc>
        <w:tc>
          <w:tcPr>
            <w:tcW w:w="300" w:type="dxa"/>
            <w:vAlign w:val="bottom"/>
            <w:gridSpan w:val="4"/>
            <w:vMerge w:val="continue"/>
            <w:shd w:val="clear" w:color="auto" w:fill="CCEEFF"/>
          </w:tcPr>
          <w:p>
            <w:pPr>
              <w:spacing w:after="0"/>
              <w:rPr>
                <w:sz w:val="16"/>
                <w:szCs w:val="16"/>
                <w:color w:val="auto"/>
              </w:rPr>
            </w:pPr>
          </w:p>
        </w:tc>
        <w:tc>
          <w:tcPr>
            <w:tcW w:w="104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200" w:type="dxa"/>
            <w:vAlign w:val="bottom"/>
            <w:gridSpan w:val="4"/>
            <w:vMerge w:val="continue"/>
            <w:shd w:val="clear" w:color="auto" w:fill="CCEEFF"/>
          </w:tcPr>
          <w:p>
            <w:pPr>
              <w:spacing w:after="0"/>
              <w:rPr>
                <w:sz w:val="16"/>
                <w:szCs w:val="16"/>
                <w:color w:val="auto"/>
              </w:rPr>
            </w:pPr>
          </w:p>
        </w:tc>
        <w:tc>
          <w:tcPr>
            <w:tcW w:w="96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20" w:type="dxa"/>
            <w:vAlign w:val="bottom"/>
            <w:vMerge w:val="continue"/>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160" w:type="dxa"/>
            <w:vAlign w:val="bottom"/>
            <w:gridSpan w:val="2"/>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60" w:type="dxa"/>
            <w:vAlign w:val="bottom"/>
          </w:tcPr>
          <w:p>
            <w:pPr>
              <w:spacing w:after="0"/>
              <w:rPr>
                <w:sz w:val="16"/>
                <w:szCs w:val="16"/>
                <w:color w:val="auto"/>
              </w:rPr>
            </w:pPr>
          </w:p>
        </w:tc>
        <w:tc>
          <w:tcPr>
            <w:tcW w:w="27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9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41"/>
        </w:trPr>
        <w:tc>
          <w:tcPr>
            <w:tcW w:w="2800" w:type="dxa"/>
            <w:vAlign w:val="bottom"/>
            <w:gridSpan w:val="2"/>
            <w:shd w:val="clear" w:color="auto" w:fill="CCEEFF"/>
          </w:tcPr>
          <w:p>
            <w:pPr>
              <w:ind w:left="20"/>
              <w:spacing w:after="0" w:line="141" w:lineRule="exact"/>
              <w:rPr>
                <w:sz w:val="20"/>
                <w:szCs w:val="20"/>
                <w:color w:val="auto"/>
              </w:rPr>
            </w:pPr>
            <w:r>
              <w:rPr>
                <w:rFonts w:ascii="Arial" w:cs="Arial" w:eastAsia="Arial" w:hAnsi="Arial"/>
                <w:sz w:val="14"/>
                <w:szCs w:val="14"/>
                <w:i w:val="1"/>
                <w:iCs w:val="1"/>
                <w:color w:val="auto"/>
              </w:rPr>
              <w:t>Gain on cash flow hedging relationships in</w:t>
            </w: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12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7"/>
        </w:trPr>
        <w:tc>
          <w:tcPr>
            <w:tcW w:w="60" w:type="dxa"/>
            <w:vAlign w:val="bottom"/>
            <w:shd w:val="clear" w:color="auto" w:fill="CCEEFF"/>
          </w:tcPr>
          <w:p>
            <w:pPr>
              <w:spacing w:after="0"/>
              <w:rPr>
                <w:sz w:val="16"/>
                <w:szCs w:val="16"/>
                <w:color w:val="auto"/>
              </w:rPr>
            </w:pPr>
          </w:p>
        </w:tc>
        <w:tc>
          <w:tcPr>
            <w:tcW w:w="2740" w:type="dxa"/>
            <w:vAlign w:val="bottom"/>
            <w:shd w:val="clear" w:color="auto" w:fill="CCEEFF"/>
          </w:tcPr>
          <w:p>
            <w:pPr>
              <w:ind w:left="100"/>
              <w:spacing w:after="0"/>
              <w:rPr>
                <w:sz w:val="20"/>
                <w:szCs w:val="20"/>
                <w:color w:val="auto"/>
              </w:rPr>
            </w:pPr>
            <w:r>
              <w:rPr>
                <w:rFonts w:ascii="Arial" w:cs="Arial" w:eastAsia="Arial" w:hAnsi="Arial"/>
                <w:sz w:val="14"/>
                <w:szCs w:val="14"/>
                <w:i w:val="1"/>
                <w:iCs w:val="1"/>
                <w:color w:val="auto"/>
              </w:rPr>
              <w:t>Subtopic ASC 815-20</w:t>
            </w:r>
          </w:p>
        </w:tc>
        <w:tc>
          <w:tcPr>
            <w:tcW w:w="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0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04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96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12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60" w:type="dxa"/>
            <w:vAlign w:val="bottom"/>
          </w:tcPr>
          <w:p>
            <w:pPr>
              <w:spacing w:after="0"/>
              <w:rPr>
                <w:sz w:val="16"/>
                <w:szCs w:val="16"/>
                <w:color w:val="auto"/>
              </w:rPr>
            </w:pPr>
          </w:p>
        </w:tc>
        <w:tc>
          <w:tcPr>
            <w:tcW w:w="2740" w:type="dxa"/>
            <w:vAlign w:val="bottom"/>
          </w:tcPr>
          <w:p>
            <w:pPr>
              <w:ind w:left="100"/>
              <w:spacing w:after="0"/>
              <w:rPr>
                <w:sz w:val="20"/>
                <w:szCs w:val="20"/>
                <w:color w:val="auto"/>
              </w:rPr>
            </w:pPr>
            <w:r>
              <w:rPr>
                <w:rFonts w:ascii="Arial" w:cs="Arial" w:eastAsia="Arial" w:hAnsi="Arial"/>
                <w:sz w:val="14"/>
                <w:szCs w:val="14"/>
                <w:i w:val="1"/>
                <w:iCs w:val="1"/>
                <w:color w:val="auto"/>
              </w:rPr>
              <w:t>Foreign exchange contracts</w:t>
            </w: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9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46"/>
        </w:trPr>
        <w:tc>
          <w:tcPr>
            <w:tcW w:w="60" w:type="dxa"/>
            <w:vAlign w:val="bottom"/>
            <w:shd w:val="clear" w:color="auto" w:fill="CCEEFF"/>
          </w:tcPr>
          <w:p>
            <w:pPr>
              <w:spacing w:after="0"/>
              <w:rPr>
                <w:sz w:val="12"/>
                <w:szCs w:val="12"/>
                <w:color w:val="auto"/>
              </w:rPr>
            </w:pPr>
          </w:p>
        </w:tc>
        <w:tc>
          <w:tcPr>
            <w:tcW w:w="2740" w:type="dxa"/>
            <w:vAlign w:val="bottom"/>
            <w:shd w:val="clear" w:color="auto" w:fill="CCEEFF"/>
          </w:tcPr>
          <w:p>
            <w:pPr>
              <w:ind w:left="200"/>
              <w:spacing w:after="0" w:line="146" w:lineRule="exact"/>
              <w:rPr>
                <w:sz w:val="20"/>
                <w:szCs w:val="20"/>
                <w:color w:val="auto"/>
              </w:rPr>
            </w:pPr>
            <w:r>
              <w:rPr>
                <w:rFonts w:ascii="Arial" w:cs="Arial" w:eastAsia="Arial" w:hAnsi="Arial"/>
                <w:sz w:val="14"/>
                <w:szCs w:val="14"/>
                <w:color w:val="auto"/>
              </w:rPr>
              <w:t>Amount of gain reclassified from</w:t>
            </w: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12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1"/>
        </w:trPr>
        <w:tc>
          <w:tcPr>
            <w:tcW w:w="60" w:type="dxa"/>
            <w:vAlign w:val="bottom"/>
            <w:shd w:val="clear" w:color="auto" w:fill="CCEEFF"/>
          </w:tcPr>
          <w:p>
            <w:pPr>
              <w:spacing w:after="0"/>
              <w:rPr>
                <w:sz w:val="12"/>
                <w:szCs w:val="12"/>
                <w:color w:val="auto"/>
              </w:rPr>
            </w:pPr>
          </w:p>
        </w:tc>
        <w:tc>
          <w:tcPr>
            <w:tcW w:w="2740" w:type="dxa"/>
            <w:vAlign w:val="bottom"/>
            <w:shd w:val="clear" w:color="auto" w:fill="CCEEFF"/>
          </w:tcPr>
          <w:p>
            <w:pPr>
              <w:ind w:left="340"/>
              <w:spacing w:after="0" w:line="141" w:lineRule="exact"/>
              <w:rPr>
                <w:sz w:val="20"/>
                <w:szCs w:val="20"/>
                <w:color w:val="auto"/>
              </w:rPr>
            </w:pPr>
            <w:r>
              <w:rPr>
                <w:rFonts w:ascii="Arial" w:cs="Arial" w:eastAsia="Arial" w:hAnsi="Arial"/>
                <w:sz w:val="14"/>
                <w:szCs w:val="14"/>
                <w:color w:val="auto"/>
              </w:rPr>
              <w:t>accumulated other comprehensive</w:t>
            </w:r>
          </w:p>
        </w:tc>
        <w:tc>
          <w:tcPr>
            <w:tcW w:w="160" w:type="dxa"/>
            <w:vAlign w:val="bottom"/>
            <w:gridSpan w:val="2"/>
            <w:vMerge w:val="restart"/>
            <w:shd w:val="clear" w:color="auto" w:fill="CCEEFF"/>
          </w:tcPr>
          <w:p>
            <w:pPr>
              <w:jc w:val="right"/>
              <w:ind w:right="80"/>
              <w:spacing w:after="0"/>
              <w:rPr>
                <w:sz w:val="20"/>
                <w:szCs w:val="20"/>
                <w:color w:val="auto"/>
              </w:rPr>
            </w:pPr>
            <w:r>
              <w:rPr>
                <w:rFonts w:ascii="Arial" w:cs="Arial" w:eastAsia="Arial" w:hAnsi="Arial"/>
                <w:sz w:val="14"/>
                <w:szCs w:val="14"/>
                <w:color w:val="auto"/>
                <w:w w:val="76"/>
              </w:rPr>
              <w:t>$</w:t>
            </w:r>
          </w:p>
        </w:tc>
        <w:tc>
          <w:tcPr>
            <w:tcW w:w="1020" w:type="dxa"/>
            <w:vAlign w:val="bottom"/>
            <w:vMerge w:val="restart"/>
            <w:shd w:val="clear" w:color="auto" w:fill="CCEEFF"/>
          </w:tcPr>
          <w:p>
            <w:pPr>
              <w:jc w:val="right"/>
              <w:ind w:right="73"/>
              <w:spacing w:after="0"/>
              <w:rPr>
                <w:sz w:val="20"/>
                <w:szCs w:val="20"/>
                <w:color w:val="auto"/>
              </w:rPr>
            </w:pPr>
            <w:r>
              <w:rPr>
                <w:rFonts w:ascii="Arial" w:cs="Arial" w:eastAsia="Arial" w:hAnsi="Arial"/>
                <w:sz w:val="14"/>
                <w:szCs w:val="14"/>
                <w:color w:val="auto"/>
              </w:rPr>
              <w:t>20</w:t>
            </w:r>
          </w:p>
        </w:tc>
        <w:tc>
          <w:tcPr>
            <w:tcW w:w="300" w:type="dxa"/>
            <w:vAlign w:val="bottom"/>
            <w:gridSpan w:val="4"/>
            <w:vMerge w:val="restart"/>
            <w:shd w:val="clear" w:color="auto" w:fill="CCEEFF"/>
          </w:tcPr>
          <w:p>
            <w:pPr>
              <w:jc w:val="right"/>
              <w:ind w:right="100"/>
              <w:spacing w:after="0"/>
              <w:rPr>
                <w:sz w:val="20"/>
                <w:szCs w:val="20"/>
                <w:color w:val="auto"/>
              </w:rPr>
            </w:pPr>
            <w:r>
              <w:rPr>
                <w:rFonts w:ascii="Arial" w:cs="Arial" w:eastAsia="Arial" w:hAnsi="Arial"/>
                <w:sz w:val="14"/>
                <w:szCs w:val="14"/>
                <w:color w:val="auto"/>
              </w:rPr>
              <w:t>$</w:t>
            </w:r>
          </w:p>
        </w:tc>
        <w:tc>
          <w:tcPr>
            <w:tcW w:w="1040" w:type="dxa"/>
            <w:vAlign w:val="bottom"/>
            <w:vMerge w:val="restart"/>
            <w:shd w:val="clear" w:color="auto" w:fill="CCEEFF"/>
          </w:tcPr>
          <w:p>
            <w:pPr>
              <w:jc w:val="right"/>
              <w:ind w:right="93"/>
              <w:spacing w:after="0"/>
              <w:rPr>
                <w:sz w:val="20"/>
                <w:szCs w:val="20"/>
                <w:color w:val="auto"/>
              </w:rPr>
            </w:pPr>
            <w:r>
              <w:rPr>
                <w:rFonts w:ascii="Arial" w:cs="Arial" w:eastAsia="Arial" w:hAnsi="Arial"/>
                <w:sz w:val="14"/>
                <w:szCs w:val="14"/>
                <w:color w:val="auto"/>
              </w:rPr>
              <w:t>—</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94"/>
              <w:spacing w:after="0"/>
              <w:rPr>
                <w:sz w:val="20"/>
                <w:szCs w:val="20"/>
                <w:color w:val="auto"/>
              </w:rPr>
            </w:pPr>
            <w:r>
              <w:rPr>
                <w:rFonts w:ascii="Arial" w:cs="Arial" w:eastAsia="Arial" w:hAnsi="Arial"/>
                <w:sz w:val="14"/>
                <w:szCs w:val="14"/>
                <w:color w:val="auto"/>
              </w:rPr>
              <w:t>—</w:t>
            </w:r>
          </w:p>
        </w:tc>
        <w:tc>
          <w:tcPr>
            <w:tcW w:w="20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960" w:type="dxa"/>
            <w:vAlign w:val="bottom"/>
            <w:vMerge w:val="restart"/>
            <w:shd w:val="clear" w:color="auto" w:fill="CCEEFF"/>
          </w:tcPr>
          <w:p>
            <w:pPr>
              <w:jc w:val="right"/>
              <w:ind w:right="92"/>
              <w:spacing w:after="0"/>
              <w:rPr>
                <w:sz w:val="20"/>
                <w:szCs w:val="20"/>
                <w:color w:val="auto"/>
              </w:rPr>
            </w:pPr>
            <w:r>
              <w:rPr>
                <w:rFonts w:ascii="Arial" w:cs="Arial" w:eastAsia="Arial" w:hAnsi="Arial"/>
                <w:sz w:val="14"/>
                <w:szCs w:val="14"/>
                <w:color w:val="auto"/>
              </w:rPr>
              <w:t>1</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200" w:type="dxa"/>
            <w:vAlign w:val="bottom"/>
            <w:gridSpan w:val="3"/>
            <w:vMerge w:val="restart"/>
            <w:shd w:val="clear" w:color="auto" w:fill="CCEEFF"/>
          </w:tcPr>
          <w:p>
            <w:pPr>
              <w:jc w:val="right"/>
              <w:ind w:right="240"/>
              <w:spacing w:after="0"/>
              <w:rPr>
                <w:sz w:val="20"/>
                <w:szCs w:val="20"/>
                <w:color w:val="auto"/>
              </w:rPr>
            </w:pPr>
            <w:r>
              <w:rPr>
                <w:rFonts w:ascii="Arial" w:cs="Arial" w:eastAsia="Arial" w:hAnsi="Arial"/>
                <w:sz w:val="14"/>
                <w:szCs w:val="14"/>
                <w:color w:val="auto"/>
              </w:rPr>
              <w:t>—</w:t>
            </w:r>
          </w:p>
        </w:tc>
        <w:tc>
          <w:tcPr>
            <w:tcW w:w="160" w:type="dxa"/>
            <w:vAlign w:val="bottom"/>
            <w:gridSpan w:val="2"/>
            <w:vMerge w:val="restart"/>
            <w:shd w:val="clear" w:color="auto" w:fill="CCEEFF"/>
          </w:tcPr>
          <w:p>
            <w:pPr>
              <w:jc w:val="right"/>
              <w:ind w:right="80"/>
              <w:spacing w:after="0"/>
              <w:rPr>
                <w:sz w:val="20"/>
                <w:szCs w:val="20"/>
                <w:color w:val="auto"/>
              </w:rPr>
            </w:pPr>
            <w:r>
              <w:rPr>
                <w:rFonts w:ascii="Arial" w:cs="Arial" w:eastAsia="Arial" w:hAnsi="Arial"/>
                <w:sz w:val="14"/>
                <w:szCs w:val="14"/>
                <w:color w:val="auto"/>
                <w:w w:val="76"/>
              </w:rPr>
              <w:t>$</w:t>
            </w:r>
          </w:p>
        </w:tc>
        <w:tc>
          <w:tcPr>
            <w:tcW w:w="1100" w:type="dxa"/>
            <w:vAlign w:val="bottom"/>
            <w:vMerge w:val="restart"/>
            <w:shd w:val="clear" w:color="auto" w:fill="CCEEFF"/>
          </w:tcPr>
          <w:p>
            <w:pPr>
              <w:jc w:val="right"/>
              <w:ind w:right="73"/>
              <w:spacing w:after="0"/>
              <w:rPr>
                <w:sz w:val="20"/>
                <w:szCs w:val="20"/>
                <w:color w:val="auto"/>
              </w:rPr>
            </w:pPr>
            <w:r>
              <w:rPr>
                <w:rFonts w:ascii="Arial" w:cs="Arial" w:eastAsia="Arial" w:hAnsi="Arial"/>
                <w:sz w:val="14"/>
                <w:szCs w:val="14"/>
                <w:color w:val="auto"/>
              </w:rPr>
              <w:t>1</w:t>
            </w: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4"/>
        </w:trPr>
        <w:tc>
          <w:tcPr>
            <w:tcW w:w="60" w:type="dxa"/>
            <w:vAlign w:val="bottom"/>
            <w:shd w:val="clear" w:color="auto" w:fill="CCEEFF"/>
          </w:tcPr>
          <w:p>
            <w:pPr>
              <w:spacing w:after="0"/>
              <w:rPr>
                <w:sz w:val="16"/>
                <w:szCs w:val="16"/>
                <w:color w:val="auto"/>
              </w:rPr>
            </w:pPr>
          </w:p>
        </w:tc>
        <w:tc>
          <w:tcPr>
            <w:tcW w:w="2740" w:type="dxa"/>
            <w:vAlign w:val="bottom"/>
            <w:shd w:val="clear" w:color="auto" w:fill="CCEEFF"/>
          </w:tcPr>
          <w:p>
            <w:pPr>
              <w:ind w:left="340"/>
              <w:spacing w:after="0"/>
              <w:rPr>
                <w:sz w:val="20"/>
                <w:szCs w:val="20"/>
                <w:color w:val="auto"/>
              </w:rPr>
            </w:pPr>
            <w:r>
              <w:rPr>
                <w:rFonts w:ascii="Arial" w:cs="Arial" w:eastAsia="Arial" w:hAnsi="Arial"/>
                <w:sz w:val="14"/>
                <w:szCs w:val="14"/>
                <w:color w:val="auto"/>
              </w:rPr>
              <w:t>income into income</w:t>
            </w:r>
          </w:p>
        </w:tc>
        <w:tc>
          <w:tcPr>
            <w:tcW w:w="160" w:type="dxa"/>
            <w:vAlign w:val="bottom"/>
            <w:gridSpan w:val="2"/>
            <w:vMerge w:val="continue"/>
            <w:shd w:val="clear" w:color="auto" w:fill="CCEEFF"/>
          </w:tcPr>
          <w:p>
            <w:pPr>
              <w:spacing w:after="0"/>
              <w:rPr>
                <w:sz w:val="16"/>
                <w:szCs w:val="16"/>
                <w:color w:val="auto"/>
              </w:rPr>
            </w:pPr>
          </w:p>
        </w:tc>
        <w:tc>
          <w:tcPr>
            <w:tcW w:w="1020" w:type="dxa"/>
            <w:vAlign w:val="bottom"/>
            <w:vMerge w:val="continue"/>
            <w:shd w:val="clear" w:color="auto" w:fill="CCEEFF"/>
          </w:tcPr>
          <w:p>
            <w:pPr>
              <w:spacing w:after="0"/>
              <w:rPr>
                <w:sz w:val="16"/>
                <w:szCs w:val="16"/>
                <w:color w:val="auto"/>
              </w:rPr>
            </w:pPr>
          </w:p>
        </w:tc>
        <w:tc>
          <w:tcPr>
            <w:tcW w:w="300" w:type="dxa"/>
            <w:vAlign w:val="bottom"/>
            <w:gridSpan w:val="4"/>
            <w:vMerge w:val="continue"/>
            <w:shd w:val="clear" w:color="auto" w:fill="CCEEFF"/>
          </w:tcPr>
          <w:p>
            <w:pPr>
              <w:spacing w:after="0"/>
              <w:rPr>
                <w:sz w:val="16"/>
                <w:szCs w:val="16"/>
                <w:color w:val="auto"/>
              </w:rPr>
            </w:pPr>
          </w:p>
        </w:tc>
        <w:tc>
          <w:tcPr>
            <w:tcW w:w="104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200" w:type="dxa"/>
            <w:vAlign w:val="bottom"/>
            <w:gridSpan w:val="4"/>
            <w:vMerge w:val="continue"/>
            <w:shd w:val="clear" w:color="auto" w:fill="CCEEFF"/>
          </w:tcPr>
          <w:p>
            <w:pPr>
              <w:spacing w:after="0"/>
              <w:rPr>
                <w:sz w:val="16"/>
                <w:szCs w:val="16"/>
                <w:color w:val="auto"/>
              </w:rPr>
            </w:pPr>
          </w:p>
        </w:tc>
        <w:tc>
          <w:tcPr>
            <w:tcW w:w="96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200" w:type="dxa"/>
            <w:vAlign w:val="bottom"/>
            <w:gridSpan w:val="3"/>
            <w:vMerge w:val="continue"/>
            <w:shd w:val="clear" w:color="auto" w:fill="CCEEFF"/>
          </w:tcPr>
          <w:p>
            <w:pPr>
              <w:spacing w:after="0"/>
              <w:rPr>
                <w:sz w:val="16"/>
                <w:szCs w:val="16"/>
                <w:color w:val="auto"/>
              </w:rPr>
            </w:pPr>
          </w:p>
        </w:tc>
        <w:tc>
          <w:tcPr>
            <w:tcW w:w="160" w:type="dxa"/>
            <w:vAlign w:val="bottom"/>
            <w:gridSpan w:val="2"/>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92"/>
        </w:trPr>
        <w:tc>
          <w:tcPr>
            <w:tcW w:w="6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260" w:type="dxa"/>
            <w:vAlign w:val="bottom"/>
            <w:tcBorders>
              <w:bottom w:val="single" w:sz="8" w:color="auto"/>
            </w:tcBorders>
            <w:gridSpan w:val="6"/>
          </w:tcPr>
          <w:p>
            <w:pPr>
              <w:jc w:val="right"/>
              <w:spacing w:after="0"/>
              <w:rPr>
                <w:sz w:val="20"/>
                <w:szCs w:val="20"/>
                <w:color w:val="auto"/>
              </w:rPr>
            </w:pPr>
            <w:r>
              <w:rPr>
                <w:rFonts w:ascii="Arial" w:cs="Arial" w:eastAsia="Arial" w:hAnsi="Arial"/>
                <w:sz w:val="13"/>
                <w:szCs w:val="13"/>
                <w:b w:val="1"/>
                <w:bCs w:val="1"/>
                <w:color w:val="auto"/>
              </w:rPr>
              <w:t>Three Months Ended April 30, 2022</w:t>
            </w: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60" w:type="dxa"/>
            <w:vAlign w:val="bottom"/>
          </w:tcPr>
          <w:p>
            <w:pPr>
              <w:spacing w:after="0"/>
              <w:rPr>
                <w:sz w:val="14"/>
                <w:szCs w:val="14"/>
                <w:color w:val="auto"/>
              </w:rPr>
            </w:pPr>
          </w:p>
        </w:tc>
        <w:tc>
          <w:tcPr>
            <w:tcW w:w="27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2360" w:type="dxa"/>
            <w:vAlign w:val="bottom"/>
            <w:tcBorders>
              <w:bottom w:val="single" w:sz="8" w:color="auto"/>
            </w:tcBorders>
            <w:gridSpan w:val="6"/>
          </w:tcPr>
          <w:p>
            <w:pPr>
              <w:jc w:val="right"/>
              <w:ind w:right="753"/>
              <w:spacing w:after="0"/>
              <w:rPr>
                <w:sz w:val="20"/>
                <w:szCs w:val="20"/>
                <w:color w:val="auto"/>
              </w:rPr>
            </w:pPr>
            <w:r>
              <w:rPr>
                <w:rFonts w:ascii="Arial" w:cs="Arial" w:eastAsia="Arial" w:hAnsi="Arial"/>
                <w:sz w:val="13"/>
                <w:szCs w:val="13"/>
                <w:b w:val="1"/>
                <w:bCs w:val="1"/>
                <w:color w:val="auto"/>
              </w:rPr>
              <w:t>Net Revenue</w:t>
            </w:r>
          </w:p>
        </w:tc>
        <w:tc>
          <w:tcPr>
            <w:tcW w:w="40" w:type="dxa"/>
            <w:vAlign w:val="bottom"/>
            <w:tcBorders>
              <w:bottom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7"/>
              </w:rPr>
              <w:t>Cost of revenue</w:t>
            </w:r>
          </w:p>
        </w:tc>
        <w:tc>
          <w:tcPr>
            <w:tcW w:w="20" w:type="dxa"/>
            <w:vAlign w:val="bottom"/>
            <w:tcBorders>
              <w:bottom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960" w:type="dxa"/>
            <w:vAlign w:val="bottom"/>
            <w:tcBorders>
              <w:bottom w:val="single" w:sz="8" w:color="auto"/>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360" w:type="dxa"/>
            <w:vAlign w:val="bottom"/>
            <w:tcBorders>
              <w:bottom w:val="single" w:sz="8" w:color="auto"/>
            </w:tcBorders>
            <w:gridSpan w:val="5"/>
          </w:tcPr>
          <w:p>
            <w:pPr>
              <w:jc w:val="right"/>
              <w:ind w:right="120"/>
              <w:spacing w:after="0"/>
              <w:rPr>
                <w:sz w:val="20"/>
                <w:szCs w:val="20"/>
                <w:color w:val="auto"/>
              </w:rPr>
            </w:pPr>
            <w:r>
              <w:rPr>
                <w:rFonts w:ascii="Arial" w:cs="Arial" w:eastAsia="Arial" w:hAnsi="Arial"/>
                <w:sz w:val="13"/>
                <w:szCs w:val="13"/>
                <w:b w:val="1"/>
                <w:bCs w:val="1"/>
                <w:color w:val="auto"/>
                <w:w w:val="98"/>
              </w:rPr>
              <w:t>Operating expenses</w:t>
            </w:r>
          </w:p>
        </w:tc>
        <w:tc>
          <w:tcPr>
            <w:tcW w:w="110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21"/>
        </w:trPr>
        <w:tc>
          <w:tcPr>
            <w:tcW w:w="60" w:type="dxa"/>
            <w:vAlign w:val="bottom"/>
          </w:tcPr>
          <w:p>
            <w:pPr>
              <w:spacing w:after="0"/>
              <w:rPr>
                <w:sz w:val="10"/>
                <w:szCs w:val="10"/>
                <w:color w:val="auto"/>
              </w:rPr>
            </w:pPr>
          </w:p>
        </w:tc>
        <w:tc>
          <w:tcPr>
            <w:tcW w:w="27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100" w:type="dxa"/>
            <w:vAlign w:val="bottom"/>
          </w:tcPr>
          <w:p>
            <w:pPr>
              <w:jc w:val="center"/>
              <w:spacing w:after="0" w:line="121" w:lineRule="exact"/>
              <w:rPr>
                <w:sz w:val="20"/>
                <w:szCs w:val="20"/>
                <w:color w:val="auto"/>
              </w:rPr>
            </w:pPr>
            <w:r>
              <w:rPr>
                <w:rFonts w:ascii="Arial" w:cs="Arial" w:eastAsia="Arial" w:hAnsi="Arial"/>
                <w:sz w:val="13"/>
                <w:szCs w:val="13"/>
                <w:b w:val="1"/>
                <w:bCs w:val="1"/>
                <w:color w:val="auto"/>
                <w:w w:val="98"/>
              </w:rPr>
              <w:t>Cost of</w:t>
            </w: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9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1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60" w:type="dxa"/>
            <w:vAlign w:val="bottom"/>
          </w:tcPr>
          <w:p>
            <w:pPr>
              <w:spacing w:after="0"/>
              <w:rPr>
                <w:sz w:val="11"/>
                <w:szCs w:val="11"/>
                <w:color w:val="auto"/>
              </w:rPr>
            </w:pPr>
          </w:p>
        </w:tc>
        <w:tc>
          <w:tcPr>
            <w:tcW w:w="27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vMerge w:val="restart"/>
          </w:tcPr>
          <w:p>
            <w:pPr>
              <w:jc w:val="right"/>
              <w:ind w:right="73"/>
              <w:spacing w:after="0"/>
              <w:rPr>
                <w:sz w:val="20"/>
                <w:szCs w:val="20"/>
                <w:color w:val="auto"/>
              </w:rPr>
            </w:pPr>
            <w:r>
              <w:rPr>
                <w:rFonts w:ascii="Arial" w:cs="Arial" w:eastAsia="Arial" w:hAnsi="Arial"/>
                <w:sz w:val="13"/>
                <w:szCs w:val="13"/>
                <w:b w:val="1"/>
                <w:bCs w:val="1"/>
                <w:color w:val="auto"/>
              </w:rPr>
              <w:t>Subscription</w:t>
            </w: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40" w:type="dxa"/>
            <w:vAlign w:val="bottom"/>
            <w:vMerge w:val="restart"/>
          </w:tcPr>
          <w:p>
            <w:pPr>
              <w:jc w:val="right"/>
              <w:ind w:right="113"/>
              <w:spacing w:after="0"/>
              <w:rPr>
                <w:sz w:val="20"/>
                <w:szCs w:val="20"/>
                <w:color w:val="auto"/>
              </w:rPr>
            </w:pPr>
            <w:r>
              <w:rPr>
                <w:rFonts w:ascii="Arial" w:cs="Arial" w:eastAsia="Arial" w:hAnsi="Arial"/>
                <w:sz w:val="13"/>
                <w:szCs w:val="13"/>
                <w:b w:val="1"/>
                <w:bCs w:val="1"/>
                <w:color w:val="auto"/>
              </w:rPr>
              <w:t>Maintenance</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80" w:type="dxa"/>
            <w:vAlign w:val="bottom"/>
            <w:gridSpan w:val="2"/>
          </w:tcPr>
          <w:p>
            <w:pPr>
              <w:jc w:val="center"/>
              <w:spacing w:after="0" w:line="129" w:lineRule="exact"/>
              <w:rPr>
                <w:sz w:val="20"/>
                <w:szCs w:val="20"/>
                <w:color w:val="auto"/>
              </w:rPr>
            </w:pPr>
            <w:r>
              <w:rPr>
                <w:rFonts w:ascii="Arial" w:cs="Arial" w:eastAsia="Arial" w:hAnsi="Arial"/>
                <w:sz w:val="13"/>
                <w:szCs w:val="13"/>
                <w:b w:val="1"/>
                <w:bCs w:val="1"/>
                <w:color w:val="auto"/>
                <w:w w:val="99"/>
              </w:rPr>
              <w:t>subscription and</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960" w:type="dxa"/>
            <w:vAlign w:val="bottom"/>
            <w:vMerge w:val="restart"/>
          </w:tcPr>
          <w:p>
            <w:pPr>
              <w:jc w:val="right"/>
              <w:ind w:right="12"/>
              <w:spacing w:after="0"/>
              <w:rPr>
                <w:sz w:val="20"/>
                <w:szCs w:val="20"/>
                <w:color w:val="auto"/>
              </w:rPr>
            </w:pPr>
            <w:r>
              <w:rPr>
                <w:rFonts w:ascii="Arial" w:cs="Arial" w:eastAsia="Arial" w:hAnsi="Arial"/>
                <w:sz w:val="13"/>
                <w:szCs w:val="13"/>
                <w:b w:val="1"/>
                <w:bCs w:val="1"/>
                <w:color w:val="auto"/>
                <w:w w:val="97"/>
              </w:rPr>
              <w:t>Marketing and</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0" w:type="dxa"/>
            <w:vAlign w:val="bottom"/>
            <w:gridSpan w:val="3"/>
            <w:vMerge w:val="restart"/>
          </w:tcPr>
          <w:p>
            <w:pPr>
              <w:ind w:left="100"/>
              <w:spacing w:after="0"/>
              <w:rPr>
                <w:sz w:val="20"/>
                <w:szCs w:val="20"/>
                <w:color w:val="auto"/>
              </w:rPr>
            </w:pPr>
            <w:r>
              <w:rPr>
                <w:rFonts w:ascii="Arial" w:cs="Arial" w:eastAsia="Arial" w:hAnsi="Arial"/>
                <w:sz w:val="13"/>
                <w:szCs w:val="13"/>
                <w:b w:val="1"/>
                <w:bCs w:val="1"/>
                <w:color w:val="auto"/>
              </w:rPr>
              <w:t>Research and</w:t>
            </w: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100" w:type="dxa"/>
            <w:vAlign w:val="bottom"/>
            <w:vMerge w:val="restart"/>
          </w:tcPr>
          <w:p>
            <w:pPr>
              <w:jc w:val="right"/>
              <w:ind w:right="153"/>
              <w:spacing w:after="0"/>
              <w:rPr>
                <w:sz w:val="20"/>
                <w:szCs w:val="20"/>
                <w:color w:val="auto"/>
              </w:rPr>
            </w:pPr>
            <w:r>
              <w:rPr>
                <w:rFonts w:ascii="Arial" w:cs="Arial" w:eastAsia="Arial" w:hAnsi="Arial"/>
                <w:sz w:val="13"/>
                <w:szCs w:val="13"/>
                <w:b w:val="1"/>
                <w:bCs w:val="1"/>
                <w:color w:val="auto"/>
              </w:rPr>
              <w:t>General and</w:t>
            </w: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60" w:type="dxa"/>
            <w:vAlign w:val="bottom"/>
          </w:tcPr>
          <w:p>
            <w:pPr>
              <w:spacing w:after="0"/>
              <w:rPr>
                <w:sz w:val="11"/>
                <w:szCs w:val="11"/>
                <w:color w:val="auto"/>
              </w:rPr>
            </w:pPr>
          </w:p>
        </w:tc>
        <w:tc>
          <w:tcPr>
            <w:tcW w:w="27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40" w:type="dxa"/>
            <w:vAlign w:val="bottom"/>
            <w:vMerge w:val="continue"/>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100" w:type="dxa"/>
            <w:vAlign w:val="bottom"/>
          </w:tcPr>
          <w:p>
            <w:pPr>
              <w:jc w:val="center"/>
              <w:ind w:right="14"/>
              <w:spacing w:after="0" w:line="129" w:lineRule="exact"/>
              <w:rPr>
                <w:sz w:val="20"/>
                <w:szCs w:val="20"/>
                <w:color w:val="auto"/>
              </w:rPr>
            </w:pPr>
            <w:r>
              <w:rPr>
                <w:rFonts w:ascii="Arial" w:cs="Arial" w:eastAsia="Arial" w:hAnsi="Arial"/>
                <w:sz w:val="13"/>
                <w:szCs w:val="13"/>
                <w:b w:val="1"/>
                <w:bCs w:val="1"/>
                <w:color w:val="auto"/>
                <w:w w:val="98"/>
              </w:rPr>
              <w:t>maintenance</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960" w:type="dxa"/>
            <w:vAlign w:val="bottom"/>
            <w:vMerge w:val="continue"/>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0" w:type="dxa"/>
            <w:vAlign w:val="bottom"/>
            <w:gridSpan w:val="3"/>
            <w:vMerge w:val="continue"/>
          </w:tcPr>
          <w:p>
            <w:pPr>
              <w:spacing w:after="0"/>
              <w:rPr>
                <w:sz w:val="11"/>
                <w:szCs w:val="11"/>
                <w:color w:val="auto"/>
              </w:rPr>
            </w:pP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100" w:type="dxa"/>
            <w:vAlign w:val="bottom"/>
            <w:vMerge w:val="continue"/>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60" w:type="dxa"/>
            <w:vAlign w:val="bottom"/>
          </w:tcPr>
          <w:p>
            <w:pPr>
              <w:spacing w:after="0"/>
              <w:rPr>
                <w:sz w:val="15"/>
                <w:szCs w:val="15"/>
                <w:color w:val="auto"/>
              </w:rPr>
            </w:pPr>
          </w:p>
        </w:tc>
        <w:tc>
          <w:tcPr>
            <w:tcW w:w="27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020" w:type="dxa"/>
            <w:vAlign w:val="bottom"/>
          </w:tcPr>
          <w:p>
            <w:pPr>
              <w:jc w:val="right"/>
              <w:ind w:right="193"/>
              <w:spacing w:after="0"/>
              <w:rPr>
                <w:sz w:val="20"/>
                <w:szCs w:val="20"/>
                <w:color w:val="auto"/>
              </w:rPr>
            </w:pPr>
            <w:r>
              <w:rPr>
                <w:rFonts w:ascii="Arial" w:cs="Arial" w:eastAsia="Arial" w:hAnsi="Arial"/>
                <w:sz w:val="13"/>
                <w:szCs w:val="13"/>
                <w:b w:val="1"/>
                <w:bCs w:val="1"/>
                <w:color w:val="auto"/>
              </w:rPr>
              <w:t>Revenue</w:t>
            </w: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040" w:type="dxa"/>
            <w:vAlign w:val="bottom"/>
          </w:tcPr>
          <w:p>
            <w:pPr>
              <w:jc w:val="right"/>
              <w:ind w:right="233"/>
              <w:spacing w:after="0"/>
              <w:rPr>
                <w:sz w:val="20"/>
                <w:szCs w:val="20"/>
                <w:color w:val="auto"/>
              </w:rPr>
            </w:pPr>
            <w:r>
              <w:rPr>
                <w:rFonts w:ascii="Arial" w:cs="Arial" w:eastAsia="Arial" w:hAnsi="Arial"/>
                <w:sz w:val="13"/>
                <w:szCs w:val="13"/>
                <w:b w:val="1"/>
                <w:bCs w:val="1"/>
                <w:color w:val="auto"/>
              </w:rPr>
              <w:t>Revenue</w:t>
            </w: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100" w:type="dxa"/>
            <w:vAlign w:val="bottom"/>
          </w:tcPr>
          <w:p>
            <w:pPr>
              <w:jc w:val="center"/>
              <w:ind w:right="14"/>
              <w:spacing w:after="0"/>
              <w:rPr>
                <w:sz w:val="20"/>
                <w:szCs w:val="20"/>
                <w:color w:val="auto"/>
              </w:rPr>
            </w:pPr>
            <w:r>
              <w:rPr>
                <w:rFonts w:ascii="Arial" w:cs="Arial" w:eastAsia="Arial" w:hAnsi="Arial"/>
                <w:sz w:val="13"/>
                <w:szCs w:val="13"/>
                <w:b w:val="1"/>
                <w:bCs w:val="1"/>
                <w:color w:val="auto"/>
              </w:rPr>
              <w:t>revenue</w:t>
            </w: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960" w:type="dxa"/>
            <w:vAlign w:val="bottom"/>
          </w:tcPr>
          <w:p>
            <w:pPr>
              <w:jc w:val="right"/>
              <w:ind w:right="272"/>
              <w:spacing w:after="0"/>
              <w:rPr>
                <w:sz w:val="20"/>
                <w:szCs w:val="20"/>
                <w:color w:val="auto"/>
              </w:rPr>
            </w:pPr>
            <w:r>
              <w:rPr>
                <w:rFonts w:ascii="Arial" w:cs="Arial" w:eastAsia="Arial" w:hAnsi="Arial"/>
                <w:sz w:val="13"/>
                <w:szCs w:val="13"/>
                <w:b w:val="1"/>
                <w:bCs w:val="1"/>
                <w:color w:val="auto"/>
              </w:rPr>
              <w:t>sales</w:t>
            </w: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00" w:type="dxa"/>
            <w:vAlign w:val="bottom"/>
            <w:gridSpan w:val="3"/>
          </w:tcPr>
          <w:p>
            <w:pPr>
              <w:ind w:left="120"/>
              <w:spacing w:after="0"/>
              <w:rPr>
                <w:sz w:val="20"/>
                <w:szCs w:val="20"/>
                <w:color w:val="auto"/>
              </w:rPr>
            </w:pPr>
            <w:r>
              <w:rPr>
                <w:rFonts w:ascii="Arial" w:cs="Arial" w:eastAsia="Arial" w:hAnsi="Arial"/>
                <w:sz w:val="13"/>
                <w:szCs w:val="13"/>
                <w:b w:val="1"/>
                <w:bCs w:val="1"/>
                <w:color w:val="auto"/>
              </w:rPr>
              <w:t>development</w:t>
            </w:r>
          </w:p>
        </w:tc>
        <w:tc>
          <w:tcPr>
            <w:tcW w:w="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100" w:type="dxa"/>
            <w:vAlign w:val="bottom"/>
          </w:tcPr>
          <w:p>
            <w:pPr>
              <w:jc w:val="right"/>
              <w:ind w:right="73"/>
              <w:spacing w:after="0"/>
              <w:rPr>
                <w:sz w:val="20"/>
                <w:szCs w:val="20"/>
                <w:color w:val="auto"/>
              </w:rPr>
            </w:pPr>
            <w:r>
              <w:rPr>
                <w:rFonts w:ascii="Arial" w:cs="Arial" w:eastAsia="Arial" w:hAnsi="Arial"/>
                <w:sz w:val="13"/>
                <w:szCs w:val="13"/>
                <w:b w:val="1"/>
                <w:bCs w:val="1"/>
                <w:color w:val="auto"/>
              </w:rPr>
              <w:t>administrative</w:t>
            </w: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4"/>
        </w:trPr>
        <w:tc>
          <w:tcPr>
            <w:tcW w:w="60" w:type="dxa"/>
            <w:vAlign w:val="bottom"/>
          </w:tcPr>
          <w:p>
            <w:pPr>
              <w:spacing w:after="0"/>
              <w:rPr>
                <w:sz w:val="10"/>
                <w:szCs w:val="10"/>
                <w:color w:val="auto"/>
              </w:rPr>
            </w:pPr>
          </w:p>
        </w:tc>
        <w:tc>
          <w:tcPr>
            <w:tcW w:w="2740" w:type="dxa"/>
            <w:vAlign w:val="bottom"/>
            <w:tcBorders>
              <w:top w:val="single" w:sz="8" w:color="CCEEFF"/>
            </w:tcBorders>
            <w:shd w:val="clear" w:color="auto" w:fill="CCEEFF"/>
          </w:tcPr>
          <w:p>
            <w:pPr>
              <w:jc w:val="right"/>
              <w:ind w:right="30"/>
              <w:spacing w:after="0" w:line="124" w:lineRule="exact"/>
              <w:rPr>
                <w:sz w:val="20"/>
                <w:szCs w:val="20"/>
                <w:color w:val="auto"/>
              </w:rPr>
            </w:pPr>
            <w:r>
              <w:rPr>
                <w:rFonts w:ascii="Arial" w:cs="Arial" w:eastAsia="Arial" w:hAnsi="Arial"/>
                <w:sz w:val="14"/>
                <w:szCs w:val="14"/>
                <w:color w:val="auto"/>
                <w:w w:val="99"/>
              </w:rPr>
              <w:t>Total amounts of income and expense line</w:t>
            </w:r>
          </w:p>
        </w:tc>
        <w:tc>
          <w:tcPr>
            <w:tcW w:w="60" w:type="dxa"/>
            <w:vAlign w:val="bottom"/>
            <w:tcBorders>
              <w:top w:val="single" w:sz="8" w:color="CCEEFF"/>
            </w:tcBorders>
            <w:shd w:val="clear" w:color="auto" w:fill="CCEEFF"/>
          </w:tcPr>
          <w:p>
            <w:pPr>
              <w:spacing w:after="0"/>
              <w:rPr>
                <w:sz w:val="10"/>
                <w:szCs w:val="10"/>
                <w:color w:val="auto"/>
              </w:rPr>
            </w:pPr>
          </w:p>
        </w:tc>
        <w:tc>
          <w:tcPr>
            <w:tcW w:w="100" w:type="dxa"/>
            <w:vAlign w:val="bottom"/>
            <w:tcBorders>
              <w:top w:val="single" w:sz="8" w:color="auto"/>
            </w:tcBorders>
            <w:shd w:val="clear" w:color="auto" w:fill="CCEEFF"/>
          </w:tcPr>
          <w:p>
            <w:pPr>
              <w:spacing w:after="0"/>
              <w:rPr>
                <w:sz w:val="10"/>
                <w:szCs w:val="10"/>
                <w:color w:val="auto"/>
              </w:rPr>
            </w:pPr>
          </w:p>
        </w:tc>
        <w:tc>
          <w:tcPr>
            <w:tcW w:w="1020" w:type="dxa"/>
            <w:vAlign w:val="bottom"/>
            <w:tcBorders>
              <w:top w:val="single" w:sz="8" w:color="auto"/>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CCEEFF"/>
            </w:tcBorders>
            <w:shd w:val="clear" w:color="auto" w:fill="CCEEFF"/>
          </w:tcPr>
          <w:p>
            <w:pPr>
              <w:spacing w:after="0"/>
              <w:rPr>
                <w:sz w:val="10"/>
                <w:szCs w:val="10"/>
                <w:color w:val="auto"/>
              </w:rPr>
            </w:pPr>
          </w:p>
        </w:tc>
        <w:tc>
          <w:tcPr>
            <w:tcW w:w="80" w:type="dxa"/>
            <w:vAlign w:val="bottom"/>
            <w:tcBorders>
              <w:top w:val="single" w:sz="8" w:color="CCEEFF"/>
            </w:tcBorders>
            <w:shd w:val="clear" w:color="auto" w:fill="CCEEFF"/>
          </w:tcPr>
          <w:p>
            <w:pPr>
              <w:spacing w:after="0"/>
              <w:rPr>
                <w:sz w:val="10"/>
                <w:szCs w:val="10"/>
                <w:color w:val="auto"/>
              </w:rPr>
            </w:pPr>
          </w:p>
        </w:tc>
        <w:tc>
          <w:tcPr>
            <w:tcW w:w="120" w:type="dxa"/>
            <w:vAlign w:val="bottom"/>
            <w:tcBorders>
              <w:top w:val="single" w:sz="8" w:color="auto"/>
            </w:tcBorders>
            <w:shd w:val="clear" w:color="auto" w:fill="CCEEFF"/>
          </w:tcPr>
          <w:p>
            <w:pPr>
              <w:spacing w:after="0"/>
              <w:rPr>
                <w:sz w:val="10"/>
                <w:szCs w:val="10"/>
                <w:color w:val="auto"/>
              </w:rPr>
            </w:pPr>
          </w:p>
        </w:tc>
        <w:tc>
          <w:tcPr>
            <w:tcW w:w="1040" w:type="dxa"/>
            <w:vAlign w:val="bottom"/>
            <w:tcBorders>
              <w:top w:val="single" w:sz="8" w:color="auto"/>
            </w:tcBorders>
            <w:shd w:val="clear" w:color="auto" w:fill="CCEEFF"/>
          </w:tcPr>
          <w:p>
            <w:pPr>
              <w:spacing w:after="0"/>
              <w:rPr>
                <w:sz w:val="10"/>
                <w:szCs w:val="10"/>
                <w:color w:val="auto"/>
              </w:rPr>
            </w:pPr>
          </w:p>
        </w:tc>
        <w:tc>
          <w:tcPr>
            <w:tcW w:w="40" w:type="dxa"/>
            <w:vAlign w:val="bottom"/>
            <w:tcBorders>
              <w:top w:val="single" w:sz="8" w:color="auto"/>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110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auto"/>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80" w:type="dxa"/>
            <w:vAlign w:val="bottom"/>
            <w:tcBorders>
              <w:top w:val="single" w:sz="8" w:color="auto"/>
            </w:tcBorders>
            <w:shd w:val="clear" w:color="auto" w:fill="CCEEFF"/>
          </w:tcPr>
          <w:p>
            <w:pPr>
              <w:spacing w:after="0"/>
              <w:rPr>
                <w:sz w:val="10"/>
                <w:szCs w:val="10"/>
                <w:color w:val="auto"/>
              </w:rPr>
            </w:pPr>
          </w:p>
        </w:tc>
        <w:tc>
          <w:tcPr>
            <w:tcW w:w="96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auto"/>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100" w:type="dxa"/>
            <w:vAlign w:val="bottom"/>
            <w:tcBorders>
              <w:top w:val="single" w:sz="8" w:color="auto"/>
            </w:tcBorders>
            <w:shd w:val="clear" w:color="auto" w:fill="CCEEFF"/>
          </w:tcPr>
          <w:p>
            <w:pPr>
              <w:spacing w:after="0"/>
              <w:rPr>
                <w:sz w:val="10"/>
                <w:szCs w:val="10"/>
                <w:color w:val="auto"/>
              </w:rPr>
            </w:pPr>
          </w:p>
        </w:tc>
        <w:tc>
          <w:tcPr>
            <w:tcW w:w="1120" w:type="dxa"/>
            <w:vAlign w:val="bottom"/>
            <w:tcBorders>
              <w:top w:val="single" w:sz="8" w:color="auto"/>
            </w:tcBorders>
            <w:shd w:val="clear" w:color="auto" w:fill="CCEEFF"/>
          </w:tcPr>
          <w:p>
            <w:pPr>
              <w:spacing w:after="0"/>
              <w:rPr>
                <w:sz w:val="10"/>
                <w:szCs w:val="10"/>
                <w:color w:val="auto"/>
              </w:rPr>
            </w:pPr>
          </w:p>
        </w:tc>
        <w:tc>
          <w:tcPr>
            <w:tcW w:w="20" w:type="dxa"/>
            <w:vAlign w:val="bottom"/>
            <w:tcBorders>
              <w:top w:val="single" w:sz="8" w:color="auto"/>
            </w:tcBorders>
            <w:shd w:val="clear" w:color="auto" w:fill="CCEEFF"/>
          </w:tcPr>
          <w:p>
            <w:pPr>
              <w:spacing w:after="0"/>
              <w:rPr>
                <w:sz w:val="10"/>
                <w:szCs w:val="10"/>
                <w:color w:val="auto"/>
              </w:rPr>
            </w:pPr>
          </w:p>
        </w:tc>
        <w:tc>
          <w:tcPr>
            <w:tcW w:w="60" w:type="dxa"/>
            <w:vAlign w:val="bottom"/>
            <w:tcBorders>
              <w:top w:val="single" w:sz="8" w:color="CCEEFF"/>
            </w:tcBorders>
            <w:shd w:val="clear" w:color="auto" w:fill="CCEEFF"/>
          </w:tcPr>
          <w:p>
            <w:pPr>
              <w:spacing w:after="0"/>
              <w:rPr>
                <w:sz w:val="10"/>
                <w:szCs w:val="10"/>
                <w:color w:val="auto"/>
              </w:rPr>
            </w:pPr>
          </w:p>
        </w:tc>
        <w:tc>
          <w:tcPr>
            <w:tcW w:w="40" w:type="dxa"/>
            <w:vAlign w:val="bottom"/>
            <w:tcBorders>
              <w:top w:val="single" w:sz="8" w:color="CCEEFF"/>
            </w:tcBorders>
            <w:shd w:val="clear" w:color="auto" w:fill="CCEEFF"/>
          </w:tcPr>
          <w:p>
            <w:pPr>
              <w:spacing w:after="0"/>
              <w:rPr>
                <w:sz w:val="10"/>
                <w:szCs w:val="10"/>
                <w:color w:val="auto"/>
              </w:rPr>
            </w:pPr>
          </w:p>
        </w:tc>
        <w:tc>
          <w:tcPr>
            <w:tcW w:w="120" w:type="dxa"/>
            <w:vAlign w:val="bottom"/>
            <w:tcBorders>
              <w:top w:val="single" w:sz="8" w:color="auto"/>
            </w:tcBorders>
            <w:shd w:val="clear" w:color="auto" w:fill="CCEEFF"/>
          </w:tcPr>
          <w:p>
            <w:pPr>
              <w:spacing w:after="0"/>
              <w:rPr>
                <w:sz w:val="10"/>
                <w:szCs w:val="10"/>
                <w:color w:val="auto"/>
              </w:rPr>
            </w:pPr>
          </w:p>
        </w:tc>
        <w:tc>
          <w:tcPr>
            <w:tcW w:w="1100" w:type="dxa"/>
            <w:vAlign w:val="bottom"/>
            <w:tcBorders>
              <w:top w:val="single" w:sz="8" w:color="auto"/>
            </w:tcBorders>
            <w:shd w:val="clear" w:color="auto" w:fill="CCEEFF"/>
          </w:tcPr>
          <w:p>
            <w:pPr>
              <w:spacing w:after="0"/>
              <w:rPr>
                <w:sz w:val="10"/>
                <w:szCs w:val="10"/>
                <w:color w:val="auto"/>
              </w:rPr>
            </w:pPr>
          </w:p>
        </w:tc>
        <w:tc>
          <w:tcPr>
            <w:tcW w:w="60" w:type="dxa"/>
            <w:vAlign w:val="bottom"/>
            <w:tcBorders>
              <w:top w:val="single" w:sz="8" w:color="auto"/>
            </w:tcBorders>
            <w:shd w:val="clear" w:color="auto" w:fill="CCEEFF"/>
          </w:tcPr>
          <w:p>
            <w:pPr>
              <w:spacing w:after="0"/>
              <w:rPr>
                <w:sz w:val="10"/>
                <w:szCs w:val="10"/>
                <w:color w:val="auto"/>
              </w:rPr>
            </w:pPr>
          </w:p>
        </w:tc>
        <w:tc>
          <w:tcPr>
            <w:tcW w:w="0" w:type="dxa"/>
            <w:vAlign w:val="bottom"/>
          </w:tcPr>
          <w:p>
            <w:pPr>
              <w:spacing w:after="0"/>
              <w:rPr>
                <w:sz w:val="1"/>
                <w:szCs w:val="1"/>
                <w:color w:val="auto"/>
              </w:rPr>
            </w:pPr>
          </w:p>
        </w:tc>
      </w:tr>
      <w:tr>
        <w:trPr>
          <w:trHeight w:val="141"/>
        </w:trPr>
        <w:tc>
          <w:tcPr>
            <w:tcW w:w="60" w:type="dxa"/>
            <w:vAlign w:val="bottom"/>
          </w:tcPr>
          <w:p>
            <w:pPr>
              <w:spacing w:after="0"/>
              <w:rPr>
                <w:sz w:val="12"/>
                <w:szCs w:val="12"/>
                <w:color w:val="auto"/>
              </w:rPr>
            </w:pPr>
          </w:p>
        </w:tc>
        <w:tc>
          <w:tcPr>
            <w:tcW w:w="2740" w:type="dxa"/>
            <w:vAlign w:val="bottom"/>
            <w:shd w:val="clear" w:color="auto" w:fill="CCEEFF"/>
          </w:tcPr>
          <w:p>
            <w:pPr>
              <w:ind w:left="140"/>
              <w:spacing w:after="0" w:line="141" w:lineRule="exact"/>
              <w:rPr>
                <w:sz w:val="20"/>
                <w:szCs w:val="20"/>
                <w:color w:val="auto"/>
              </w:rPr>
            </w:pPr>
            <w:r>
              <w:rPr>
                <w:rFonts w:ascii="Arial" w:cs="Arial" w:eastAsia="Arial" w:hAnsi="Arial"/>
                <w:sz w:val="14"/>
                <w:szCs w:val="14"/>
                <w:color w:val="auto"/>
              </w:rPr>
              <w:t>items presented in the condensed</w:t>
            </w:r>
          </w:p>
        </w:tc>
        <w:tc>
          <w:tcPr>
            <w:tcW w:w="160" w:type="dxa"/>
            <w:vAlign w:val="bottom"/>
            <w:gridSpan w:val="2"/>
            <w:vMerge w:val="restart"/>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1020" w:type="dxa"/>
            <w:vAlign w:val="bottom"/>
            <w:vMerge w:val="restart"/>
            <w:shd w:val="clear" w:color="auto" w:fill="CCEEFF"/>
          </w:tcPr>
          <w:p>
            <w:pPr>
              <w:jc w:val="right"/>
              <w:ind w:right="13"/>
              <w:spacing w:after="0"/>
              <w:rPr>
                <w:sz w:val="20"/>
                <w:szCs w:val="20"/>
                <w:color w:val="auto"/>
              </w:rPr>
            </w:pPr>
            <w:r>
              <w:rPr>
                <w:rFonts w:ascii="Arial" w:cs="Arial" w:eastAsia="Arial" w:hAnsi="Arial"/>
                <w:sz w:val="14"/>
                <w:szCs w:val="14"/>
                <w:color w:val="auto"/>
              </w:rPr>
              <w:t>1,089</w:t>
            </w:r>
          </w:p>
        </w:tc>
        <w:tc>
          <w:tcPr>
            <w:tcW w:w="300" w:type="dxa"/>
            <w:vAlign w:val="bottom"/>
            <w:gridSpan w:val="4"/>
            <w:vMerge w:val="restart"/>
            <w:shd w:val="clear" w:color="auto" w:fill="CCEEFF"/>
          </w:tcPr>
          <w:p>
            <w:pPr>
              <w:jc w:val="right"/>
              <w:ind w:right="40"/>
              <w:spacing w:after="0"/>
              <w:rPr>
                <w:sz w:val="20"/>
                <w:szCs w:val="20"/>
                <w:color w:val="auto"/>
              </w:rPr>
            </w:pPr>
            <w:r>
              <w:rPr>
                <w:rFonts w:ascii="Arial" w:cs="Arial" w:eastAsia="Arial" w:hAnsi="Arial"/>
                <w:sz w:val="14"/>
                <w:szCs w:val="14"/>
                <w:color w:val="auto"/>
              </w:rPr>
              <w:t>$</w:t>
            </w:r>
          </w:p>
        </w:tc>
        <w:tc>
          <w:tcPr>
            <w:tcW w:w="1040" w:type="dxa"/>
            <w:vAlign w:val="bottom"/>
            <w:vMerge w:val="restart"/>
            <w:shd w:val="clear" w:color="auto" w:fill="CCEEFF"/>
          </w:tcPr>
          <w:p>
            <w:pPr>
              <w:jc w:val="right"/>
              <w:ind w:right="53"/>
              <w:spacing w:after="0"/>
              <w:rPr>
                <w:sz w:val="20"/>
                <w:szCs w:val="20"/>
                <w:color w:val="auto"/>
              </w:rPr>
            </w:pPr>
            <w:r>
              <w:rPr>
                <w:rFonts w:ascii="Arial" w:cs="Arial" w:eastAsia="Arial" w:hAnsi="Arial"/>
                <w:sz w:val="14"/>
                <w:szCs w:val="14"/>
                <w:color w:val="auto"/>
              </w:rPr>
              <w:t>18</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74"/>
              <w:spacing w:after="0"/>
              <w:rPr>
                <w:sz w:val="20"/>
                <w:szCs w:val="20"/>
                <w:color w:val="auto"/>
              </w:rPr>
            </w:pPr>
            <w:r>
              <w:rPr>
                <w:rFonts w:ascii="Arial" w:cs="Arial" w:eastAsia="Arial" w:hAnsi="Arial"/>
                <w:sz w:val="14"/>
                <w:szCs w:val="14"/>
                <w:color w:val="auto"/>
              </w:rPr>
              <w:t>84</w:t>
            </w:r>
          </w:p>
        </w:tc>
        <w:tc>
          <w:tcPr>
            <w:tcW w:w="20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960" w:type="dxa"/>
            <w:vAlign w:val="bottom"/>
            <w:vMerge w:val="restart"/>
            <w:shd w:val="clear" w:color="auto" w:fill="CCEEFF"/>
          </w:tcPr>
          <w:p>
            <w:pPr>
              <w:jc w:val="right"/>
              <w:ind w:right="52"/>
              <w:spacing w:after="0"/>
              <w:rPr>
                <w:sz w:val="20"/>
                <w:szCs w:val="20"/>
                <w:color w:val="auto"/>
              </w:rPr>
            </w:pPr>
            <w:r>
              <w:rPr>
                <w:rFonts w:ascii="Arial" w:cs="Arial" w:eastAsia="Arial" w:hAnsi="Arial"/>
                <w:sz w:val="14"/>
                <w:szCs w:val="14"/>
                <w:color w:val="auto"/>
              </w:rPr>
              <w:t>419</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20" w:type="dxa"/>
            <w:vAlign w:val="bottom"/>
            <w:vMerge w:val="restart"/>
            <w:shd w:val="clear" w:color="auto" w:fill="CCEEFF"/>
          </w:tcPr>
          <w:p>
            <w:pPr>
              <w:jc w:val="right"/>
              <w:ind w:right="53"/>
              <w:spacing w:after="0"/>
              <w:rPr>
                <w:sz w:val="20"/>
                <w:szCs w:val="20"/>
                <w:color w:val="auto"/>
              </w:rPr>
            </w:pPr>
            <w:r>
              <w:rPr>
                <w:rFonts w:ascii="Arial" w:cs="Arial" w:eastAsia="Arial" w:hAnsi="Arial"/>
                <w:sz w:val="14"/>
                <w:szCs w:val="14"/>
                <w:color w:val="auto"/>
              </w:rPr>
              <w:t>289</w:t>
            </w: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160" w:type="dxa"/>
            <w:vAlign w:val="bottom"/>
            <w:gridSpan w:val="2"/>
            <w:vMerge w:val="restart"/>
            <w:shd w:val="clear" w:color="auto" w:fill="CCEEFF"/>
          </w:tcPr>
          <w:p>
            <w:pPr>
              <w:jc w:val="right"/>
              <w:ind w:right="40"/>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33"/>
              <w:spacing w:after="0"/>
              <w:rPr>
                <w:sz w:val="20"/>
                <w:szCs w:val="20"/>
                <w:color w:val="auto"/>
              </w:rPr>
            </w:pPr>
            <w:r>
              <w:rPr>
                <w:rFonts w:ascii="Arial" w:cs="Arial" w:eastAsia="Arial" w:hAnsi="Arial"/>
                <w:sz w:val="14"/>
                <w:szCs w:val="14"/>
                <w:color w:val="auto"/>
              </w:rPr>
              <w:t>120</w:t>
            </w:r>
          </w:p>
        </w:tc>
        <w:tc>
          <w:tcPr>
            <w:tcW w:w="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84"/>
        </w:trPr>
        <w:tc>
          <w:tcPr>
            <w:tcW w:w="60" w:type="dxa"/>
            <w:vAlign w:val="bottom"/>
          </w:tcPr>
          <w:p>
            <w:pPr>
              <w:spacing w:after="0"/>
              <w:rPr>
                <w:sz w:val="16"/>
                <w:szCs w:val="16"/>
                <w:color w:val="auto"/>
              </w:rPr>
            </w:pPr>
          </w:p>
        </w:tc>
        <w:tc>
          <w:tcPr>
            <w:tcW w:w="2740" w:type="dxa"/>
            <w:vAlign w:val="bottom"/>
            <w:shd w:val="clear" w:color="auto" w:fill="CCEEFF"/>
          </w:tcPr>
          <w:p>
            <w:pPr>
              <w:ind w:left="140"/>
              <w:spacing w:after="0"/>
              <w:rPr>
                <w:sz w:val="20"/>
                <w:szCs w:val="20"/>
                <w:color w:val="auto"/>
              </w:rPr>
            </w:pPr>
            <w:r>
              <w:rPr>
                <w:rFonts w:ascii="Arial" w:cs="Arial" w:eastAsia="Arial" w:hAnsi="Arial"/>
                <w:sz w:val="14"/>
                <w:szCs w:val="14"/>
                <w:color w:val="auto"/>
              </w:rPr>
              <w:t>consolidated statements of operations</w:t>
            </w:r>
          </w:p>
        </w:tc>
        <w:tc>
          <w:tcPr>
            <w:tcW w:w="160" w:type="dxa"/>
            <w:vAlign w:val="bottom"/>
            <w:gridSpan w:val="2"/>
            <w:vMerge w:val="continue"/>
            <w:shd w:val="clear" w:color="auto" w:fill="CCEEFF"/>
          </w:tcPr>
          <w:p>
            <w:pPr>
              <w:spacing w:after="0"/>
              <w:rPr>
                <w:sz w:val="16"/>
                <w:szCs w:val="16"/>
                <w:color w:val="auto"/>
              </w:rPr>
            </w:pPr>
          </w:p>
        </w:tc>
        <w:tc>
          <w:tcPr>
            <w:tcW w:w="1020" w:type="dxa"/>
            <w:vAlign w:val="bottom"/>
            <w:vMerge w:val="continue"/>
            <w:shd w:val="clear" w:color="auto" w:fill="CCEEFF"/>
          </w:tcPr>
          <w:p>
            <w:pPr>
              <w:spacing w:after="0"/>
              <w:rPr>
                <w:sz w:val="16"/>
                <w:szCs w:val="16"/>
                <w:color w:val="auto"/>
              </w:rPr>
            </w:pPr>
          </w:p>
        </w:tc>
        <w:tc>
          <w:tcPr>
            <w:tcW w:w="300" w:type="dxa"/>
            <w:vAlign w:val="bottom"/>
            <w:gridSpan w:val="4"/>
            <w:vMerge w:val="continue"/>
            <w:shd w:val="clear" w:color="auto" w:fill="CCEEFF"/>
          </w:tcPr>
          <w:p>
            <w:pPr>
              <w:spacing w:after="0"/>
              <w:rPr>
                <w:sz w:val="16"/>
                <w:szCs w:val="16"/>
                <w:color w:val="auto"/>
              </w:rPr>
            </w:pPr>
          </w:p>
        </w:tc>
        <w:tc>
          <w:tcPr>
            <w:tcW w:w="104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200" w:type="dxa"/>
            <w:vAlign w:val="bottom"/>
            <w:gridSpan w:val="4"/>
            <w:vMerge w:val="continue"/>
            <w:shd w:val="clear" w:color="auto" w:fill="CCEEFF"/>
          </w:tcPr>
          <w:p>
            <w:pPr>
              <w:spacing w:after="0"/>
              <w:rPr>
                <w:sz w:val="16"/>
                <w:szCs w:val="16"/>
                <w:color w:val="auto"/>
              </w:rPr>
            </w:pPr>
          </w:p>
        </w:tc>
        <w:tc>
          <w:tcPr>
            <w:tcW w:w="96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20" w:type="dxa"/>
            <w:vAlign w:val="bottom"/>
            <w:vMerge w:val="continue"/>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160" w:type="dxa"/>
            <w:vAlign w:val="bottom"/>
            <w:gridSpan w:val="2"/>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211"/>
        </w:trPr>
        <w:tc>
          <w:tcPr>
            <w:tcW w:w="60" w:type="dxa"/>
            <w:vAlign w:val="bottom"/>
          </w:tcPr>
          <w:p>
            <w:pPr>
              <w:spacing w:after="0"/>
              <w:rPr>
                <w:sz w:val="18"/>
                <w:szCs w:val="18"/>
                <w:color w:val="auto"/>
              </w:rPr>
            </w:pPr>
          </w:p>
        </w:tc>
        <w:tc>
          <w:tcPr>
            <w:tcW w:w="27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41"/>
        </w:trPr>
        <w:tc>
          <w:tcPr>
            <w:tcW w:w="60" w:type="dxa"/>
            <w:vAlign w:val="bottom"/>
          </w:tcPr>
          <w:p>
            <w:pPr>
              <w:spacing w:after="0"/>
              <w:rPr>
                <w:sz w:val="12"/>
                <w:szCs w:val="12"/>
                <w:color w:val="auto"/>
              </w:rPr>
            </w:pPr>
          </w:p>
        </w:tc>
        <w:tc>
          <w:tcPr>
            <w:tcW w:w="2740" w:type="dxa"/>
            <w:vAlign w:val="bottom"/>
            <w:shd w:val="clear" w:color="auto" w:fill="CCEEFF"/>
          </w:tcPr>
          <w:p>
            <w:pPr>
              <w:ind w:left="140"/>
              <w:spacing w:after="0" w:line="141" w:lineRule="exact"/>
              <w:rPr>
                <w:sz w:val="20"/>
                <w:szCs w:val="20"/>
                <w:color w:val="auto"/>
              </w:rPr>
            </w:pPr>
            <w:r>
              <w:rPr>
                <w:rFonts w:ascii="Arial" w:cs="Arial" w:eastAsia="Arial" w:hAnsi="Arial"/>
                <w:sz w:val="14"/>
                <w:szCs w:val="14"/>
                <w:i w:val="1"/>
                <w:iCs w:val="1"/>
                <w:color w:val="auto"/>
              </w:rPr>
              <w:t>Gain (loss) on cash flow hedging</w:t>
            </w: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12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87"/>
        </w:trPr>
        <w:tc>
          <w:tcPr>
            <w:tcW w:w="60" w:type="dxa"/>
            <w:vAlign w:val="bottom"/>
          </w:tcPr>
          <w:p>
            <w:pPr>
              <w:spacing w:after="0"/>
              <w:rPr>
                <w:sz w:val="16"/>
                <w:szCs w:val="16"/>
                <w:color w:val="auto"/>
              </w:rPr>
            </w:pPr>
          </w:p>
        </w:tc>
        <w:tc>
          <w:tcPr>
            <w:tcW w:w="2740" w:type="dxa"/>
            <w:vAlign w:val="bottom"/>
            <w:shd w:val="clear" w:color="auto" w:fill="CCEEFF"/>
          </w:tcPr>
          <w:p>
            <w:pPr>
              <w:ind w:left="140"/>
              <w:spacing w:after="0"/>
              <w:rPr>
                <w:sz w:val="20"/>
                <w:szCs w:val="20"/>
                <w:color w:val="auto"/>
              </w:rPr>
            </w:pPr>
            <w:r>
              <w:rPr>
                <w:rFonts w:ascii="Arial" w:cs="Arial" w:eastAsia="Arial" w:hAnsi="Arial"/>
                <w:sz w:val="14"/>
                <w:szCs w:val="14"/>
                <w:i w:val="1"/>
                <w:iCs w:val="1"/>
                <w:color w:val="auto"/>
              </w:rPr>
              <w:t>relationships in Subtopic ASC 815-20</w:t>
            </w:r>
          </w:p>
        </w:tc>
        <w:tc>
          <w:tcPr>
            <w:tcW w:w="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0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04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96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120" w:type="dxa"/>
            <w:vAlign w:val="bottom"/>
            <w:shd w:val="clear" w:color="auto" w:fill="CCEEFF"/>
          </w:tcPr>
          <w:p>
            <w:pPr>
              <w:spacing w:after="0"/>
              <w:rPr>
                <w:sz w:val="16"/>
                <w:szCs w:val="16"/>
                <w:color w:val="auto"/>
              </w:rPr>
            </w:pPr>
          </w:p>
        </w:tc>
        <w:tc>
          <w:tcPr>
            <w:tcW w:w="2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4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60" w:type="dxa"/>
            <w:vAlign w:val="bottom"/>
          </w:tcPr>
          <w:p>
            <w:pPr>
              <w:spacing w:after="0"/>
              <w:rPr>
                <w:sz w:val="16"/>
                <w:szCs w:val="16"/>
                <w:color w:val="auto"/>
              </w:rPr>
            </w:pPr>
          </w:p>
        </w:tc>
        <w:tc>
          <w:tcPr>
            <w:tcW w:w="2740" w:type="dxa"/>
            <w:vAlign w:val="bottom"/>
          </w:tcPr>
          <w:p>
            <w:pPr>
              <w:ind w:left="140"/>
              <w:spacing w:after="0"/>
              <w:rPr>
                <w:sz w:val="20"/>
                <w:szCs w:val="20"/>
                <w:color w:val="auto"/>
              </w:rPr>
            </w:pPr>
            <w:r>
              <w:rPr>
                <w:rFonts w:ascii="Arial" w:cs="Arial" w:eastAsia="Arial" w:hAnsi="Arial"/>
                <w:sz w:val="14"/>
                <w:szCs w:val="14"/>
                <w:i w:val="1"/>
                <w:iCs w:val="1"/>
                <w:color w:val="auto"/>
              </w:rPr>
              <w:t>Foreign exchange contracts</w:t>
            </w: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9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46"/>
        </w:trPr>
        <w:tc>
          <w:tcPr>
            <w:tcW w:w="60" w:type="dxa"/>
            <w:vAlign w:val="bottom"/>
          </w:tcPr>
          <w:p>
            <w:pPr>
              <w:spacing w:after="0"/>
              <w:rPr>
                <w:sz w:val="12"/>
                <w:szCs w:val="12"/>
                <w:color w:val="auto"/>
              </w:rPr>
            </w:pPr>
          </w:p>
        </w:tc>
        <w:tc>
          <w:tcPr>
            <w:tcW w:w="2740" w:type="dxa"/>
            <w:vAlign w:val="bottom"/>
            <w:shd w:val="clear" w:color="auto" w:fill="CCEEFF"/>
          </w:tcPr>
          <w:p>
            <w:pPr>
              <w:jc w:val="right"/>
              <w:ind w:right="30"/>
              <w:spacing w:after="0" w:line="146" w:lineRule="exact"/>
              <w:rPr>
                <w:sz w:val="20"/>
                <w:szCs w:val="20"/>
                <w:color w:val="auto"/>
              </w:rPr>
            </w:pPr>
            <w:r>
              <w:rPr>
                <w:rFonts w:ascii="Arial" w:cs="Arial" w:eastAsia="Arial" w:hAnsi="Arial"/>
                <w:sz w:val="14"/>
                <w:szCs w:val="14"/>
                <w:color w:val="auto"/>
              </w:rPr>
              <w:t>Amount of gain (loss) reclassified from</w:t>
            </w: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12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1"/>
        </w:trPr>
        <w:tc>
          <w:tcPr>
            <w:tcW w:w="60" w:type="dxa"/>
            <w:vAlign w:val="bottom"/>
          </w:tcPr>
          <w:p>
            <w:pPr>
              <w:spacing w:after="0"/>
              <w:rPr>
                <w:sz w:val="12"/>
                <w:szCs w:val="12"/>
                <w:color w:val="auto"/>
              </w:rPr>
            </w:pPr>
          </w:p>
        </w:tc>
        <w:tc>
          <w:tcPr>
            <w:tcW w:w="2740" w:type="dxa"/>
            <w:vAlign w:val="bottom"/>
            <w:shd w:val="clear" w:color="auto" w:fill="CCEEFF"/>
          </w:tcPr>
          <w:p>
            <w:pPr>
              <w:ind w:left="380"/>
              <w:spacing w:after="0" w:line="141" w:lineRule="exact"/>
              <w:rPr>
                <w:sz w:val="20"/>
                <w:szCs w:val="20"/>
                <w:color w:val="auto"/>
              </w:rPr>
            </w:pPr>
            <w:r>
              <w:rPr>
                <w:rFonts w:ascii="Arial" w:cs="Arial" w:eastAsia="Arial" w:hAnsi="Arial"/>
                <w:sz w:val="14"/>
                <w:szCs w:val="14"/>
                <w:color w:val="auto"/>
              </w:rPr>
              <w:t>accumulated other comprehensive</w:t>
            </w:r>
          </w:p>
        </w:tc>
        <w:tc>
          <w:tcPr>
            <w:tcW w:w="160" w:type="dxa"/>
            <w:vAlign w:val="bottom"/>
            <w:gridSpan w:val="2"/>
            <w:vMerge w:val="restart"/>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1020" w:type="dxa"/>
            <w:vAlign w:val="bottom"/>
            <w:vMerge w:val="restart"/>
            <w:shd w:val="clear" w:color="auto" w:fill="CCEEFF"/>
          </w:tcPr>
          <w:p>
            <w:pPr>
              <w:jc w:val="right"/>
              <w:ind w:right="13"/>
              <w:spacing w:after="0"/>
              <w:rPr>
                <w:sz w:val="20"/>
                <w:szCs w:val="20"/>
                <w:color w:val="auto"/>
              </w:rPr>
            </w:pPr>
            <w:r>
              <w:rPr>
                <w:rFonts w:ascii="Arial" w:cs="Arial" w:eastAsia="Arial" w:hAnsi="Arial"/>
                <w:sz w:val="14"/>
                <w:szCs w:val="14"/>
                <w:color w:val="auto"/>
              </w:rPr>
              <w:t>6</w:t>
            </w:r>
          </w:p>
        </w:tc>
        <w:tc>
          <w:tcPr>
            <w:tcW w:w="300" w:type="dxa"/>
            <w:vAlign w:val="bottom"/>
            <w:gridSpan w:val="4"/>
            <w:vMerge w:val="restart"/>
            <w:shd w:val="clear" w:color="auto" w:fill="CCEEFF"/>
          </w:tcPr>
          <w:p>
            <w:pPr>
              <w:jc w:val="right"/>
              <w:ind w:right="40"/>
              <w:spacing w:after="0"/>
              <w:rPr>
                <w:sz w:val="20"/>
                <w:szCs w:val="20"/>
                <w:color w:val="auto"/>
              </w:rPr>
            </w:pPr>
            <w:r>
              <w:rPr>
                <w:rFonts w:ascii="Arial" w:cs="Arial" w:eastAsia="Arial" w:hAnsi="Arial"/>
                <w:sz w:val="14"/>
                <w:szCs w:val="14"/>
                <w:color w:val="auto"/>
              </w:rPr>
              <w:t>$</w:t>
            </w:r>
          </w:p>
        </w:tc>
        <w:tc>
          <w:tcPr>
            <w:tcW w:w="1040" w:type="dxa"/>
            <w:vAlign w:val="bottom"/>
            <w:vMerge w:val="restart"/>
            <w:shd w:val="clear" w:color="auto" w:fill="CCEEFF"/>
          </w:tcPr>
          <w:p>
            <w:pPr>
              <w:jc w:val="right"/>
              <w:ind w:right="53"/>
              <w:spacing w:after="0"/>
              <w:rPr>
                <w:sz w:val="20"/>
                <w:szCs w:val="20"/>
                <w:color w:val="auto"/>
              </w:rPr>
            </w:pPr>
            <w:r>
              <w:rPr>
                <w:rFonts w:ascii="Arial" w:cs="Arial" w:eastAsia="Arial" w:hAnsi="Arial"/>
                <w:sz w:val="14"/>
                <w:szCs w:val="14"/>
                <w:color w:val="auto"/>
              </w:rPr>
              <w:t>—</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74"/>
              <w:spacing w:after="0"/>
              <w:rPr>
                <w:sz w:val="20"/>
                <w:szCs w:val="20"/>
                <w:color w:val="auto"/>
              </w:rPr>
            </w:pPr>
            <w:r>
              <w:rPr>
                <w:rFonts w:ascii="Arial" w:cs="Arial" w:eastAsia="Arial" w:hAnsi="Arial"/>
                <w:sz w:val="14"/>
                <w:szCs w:val="14"/>
                <w:color w:val="auto"/>
              </w:rPr>
              <w:t>(1)</w:t>
            </w:r>
          </w:p>
        </w:tc>
        <w:tc>
          <w:tcPr>
            <w:tcW w:w="20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960" w:type="dxa"/>
            <w:vAlign w:val="bottom"/>
            <w:vMerge w:val="restart"/>
            <w:shd w:val="clear" w:color="auto" w:fill="CCEEFF"/>
          </w:tcPr>
          <w:p>
            <w:pPr>
              <w:jc w:val="right"/>
              <w:ind w:right="52"/>
              <w:spacing w:after="0"/>
              <w:rPr>
                <w:sz w:val="20"/>
                <w:szCs w:val="20"/>
                <w:color w:val="auto"/>
              </w:rPr>
            </w:pPr>
            <w:r>
              <w:rPr>
                <w:rFonts w:ascii="Arial" w:cs="Arial" w:eastAsia="Arial" w:hAnsi="Arial"/>
                <w:sz w:val="14"/>
                <w:szCs w:val="14"/>
                <w:color w:val="auto"/>
              </w:rPr>
              <w:t>(2)</w:t>
            </w:r>
          </w:p>
        </w:tc>
        <w:tc>
          <w:tcPr>
            <w:tcW w:w="220" w:type="dxa"/>
            <w:vAlign w:val="bottom"/>
            <w:gridSpan w:val="4"/>
            <w:vMerge w:val="restart"/>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200" w:type="dxa"/>
            <w:vAlign w:val="bottom"/>
            <w:gridSpan w:val="3"/>
            <w:vMerge w:val="restart"/>
            <w:shd w:val="clear" w:color="auto" w:fill="CCEEFF"/>
          </w:tcPr>
          <w:p>
            <w:pPr>
              <w:jc w:val="right"/>
              <w:ind w:right="200"/>
              <w:spacing w:after="0"/>
              <w:rPr>
                <w:sz w:val="20"/>
                <w:szCs w:val="20"/>
                <w:color w:val="auto"/>
              </w:rPr>
            </w:pPr>
            <w:r>
              <w:rPr>
                <w:rFonts w:ascii="Arial" w:cs="Arial" w:eastAsia="Arial" w:hAnsi="Arial"/>
                <w:sz w:val="14"/>
                <w:szCs w:val="14"/>
                <w:color w:val="auto"/>
              </w:rPr>
              <w:t>—</w:t>
            </w:r>
          </w:p>
        </w:tc>
        <w:tc>
          <w:tcPr>
            <w:tcW w:w="160" w:type="dxa"/>
            <w:vAlign w:val="bottom"/>
            <w:gridSpan w:val="2"/>
            <w:vMerge w:val="restart"/>
            <w:shd w:val="clear" w:color="auto" w:fill="CCEEFF"/>
          </w:tcPr>
          <w:p>
            <w:pPr>
              <w:jc w:val="right"/>
              <w:ind w:right="40"/>
              <w:spacing w:after="0"/>
              <w:rPr>
                <w:sz w:val="20"/>
                <w:szCs w:val="20"/>
                <w:color w:val="auto"/>
              </w:rPr>
            </w:pPr>
            <w:r>
              <w:rPr>
                <w:rFonts w:ascii="Arial" w:cs="Arial" w:eastAsia="Arial" w:hAnsi="Arial"/>
                <w:sz w:val="14"/>
                <w:szCs w:val="14"/>
                <w:color w:val="auto"/>
              </w:rPr>
              <w:t>$</w:t>
            </w:r>
          </w:p>
        </w:tc>
        <w:tc>
          <w:tcPr>
            <w:tcW w:w="1100" w:type="dxa"/>
            <w:vAlign w:val="bottom"/>
            <w:vMerge w:val="restart"/>
            <w:shd w:val="clear" w:color="auto" w:fill="CCEEFF"/>
          </w:tcPr>
          <w:p>
            <w:pPr>
              <w:jc w:val="right"/>
              <w:ind w:right="33"/>
              <w:spacing w:after="0"/>
              <w:rPr>
                <w:sz w:val="20"/>
                <w:szCs w:val="20"/>
                <w:color w:val="auto"/>
              </w:rPr>
            </w:pPr>
            <w:r>
              <w:rPr>
                <w:rFonts w:ascii="Arial" w:cs="Arial" w:eastAsia="Arial" w:hAnsi="Arial"/>
                <w:sz w:val="14"/>
                <w:szCs w:val="14"/>
                <w:color w:val="auto"/>
              </w:rPr>
              <w:t>(1)</w:t>
            </w:r>
          </w:p>
        </w:tc>
        <w:tc>
          <w:tcPr>
            <w:tcW w:w="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84"/>
        </w:trPr>
        <w:tc>
          <w:tcPr>
            <w:tcW w:w="60" w:type="dxa"/>
            <w:vAlign w:val="bottom"/>
          </w:tcPr>
          <w:p>
            <w:pPr>
              <w:spacing w:after="0"/>
              <w:rPr>
                <w:sz w:val="16"/>
                <w:szCs w:val="16"/>
                <w:color w:val="auto"/>
              </w:rPr>
            </w:pPr>
          </w:p>
        </w:tc>
        <w:tc>
          <w:tcPr>
            <w:tcW w:w="2740" w:type="dxa"/>
            <w:vAlign w:val="bottom"/>
            <w:shd w:val="clear" w:color="auto" w:fill="CCEEFF"/>
          </w:tcPr>
          <w:p>
            <w:pPr>
              <w:ind w:left="380"/>
              <w:spacing w:after="0"/>
              <w:rPr>
                <w:sz w:val="20"/>
                <w:szCs w:val="20"/>
                <w:color w:val="auto"/>
              </w:rPr>
            </w:pPr>
            <w:r>
              <w:rPr>
                <w:rFonts w:ascii="Arial" w:cs="Arial" w:eastAsia="Arial" w:hAnsi="Arial"/>
                <w:sz w:val="14"/>
                <w:szCs w:val="14"/>
                <w:color w:val="auto"/>
              </w:rPr>
              <w:t>income into income</w:t>
            </w:r>
          </w:p>
        </w:tc>
        <w:tc>
          <w:tcPr>
            <w:tcW w:w="160" w:type="dxa"/>
            <w:vAlign w:val="bottom"/>
            <w:gridSpan w:val="2"/>
            <w:vMerge w:val="continue"/>
            <w:shd w:val="clear" w:color="auto" w:fill="CCEEFF"/>
          </w:tcPr>
          <w:p>
            <w:pPr>
              <w:spacing w:after="0"/>
              <w:rPr>
                <w:sz w:val="16"/>
                <w:szCs w:val="16"/>
                <w:color w:val="auto"/>
              </w:rPr>
            </w:pPr>
          </w:p>
        </w:tc>
        <w:tc>
          <w:tcPr>
            <w:tcW w:w="1020" w:type="dxa"/>
            <w:vAlign w:val="bottom"/>
            <w:vMerge w:val="continue"/>
            <w:shd w:val="clear" w:color="auto" w:fill="CCEEFF"/>
          </w:tcPr>
          <w:p>
            <w:pPr>
              <w:spacing w:after="0"/>
              <w:rPr>
                <w:sz w:val="16"/>
                <w:szCs w:val="16"/>
                <w:color w:val="auto"/>
              </w:rPr>
            </w:pPr>
          </w:p>
        </w:tc>
        <w:tc>
          <w:tcPr>
            <w:tcW w:w="300" w:type="dxa"/>
            <w:vAlign w:val="bottom"/>
            <w:gridSpan w:val="4"/>
            <w:vMerge w:val="continue"/>
            <w:shd w:val="clear" w:color="auto" w:fill="CCEEFF"/>
          </w:tcPr>
          <w:p>
            <w:pPr>
              <w:spacing w:after="0"/>
              <w:rPr>
                <w:sz w:val="16"/>
                <w:szCs w:val="16"/>
                <w:color w:val="auto"/>
              </w:rPr>
            </w:pPr>
          </w:p>
        </w:tc>
        <w:tc>
          <w:tcPr>
            <w:tcW w:w="104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200" w:type="dxa"/>
            <w:vAlign w:val="bottom"/>
            <w:gridSpan w:val="4"/>
            <w:vMerge w:val="continue"/>
            <w:shd w:val="clear" w:color="auto" w:fill="CCEEFF"/>
          </w:tcPr>
          <w:p>
            <w:pPr>
              <w:spacing w:after="0"/>
              <w:rPr>
                <w:sz w:val="16"/>
                <w:szCs w:val="16"/>
                <w:color w:val="auto"/>
              </w:rPr>
            </w:pPr>
          </w:p>
        </w:tc>
        <w:tc>
          <w:tcPr>
            <w:tcW w:w="960" w:type="dxa"/>
            <w:vAlign w:val="bottom"/>
            <w:vMerge w:val="continue"/>
            <w:shd w:val="clear" w:color="auto" w:fill="CCEEFF"/>
          </w:tcPr>
          <w:p>
            <w:pPr>
              <w:spacing w:after="0"/>
              <w:rPr>
                <w:sz w:val="16"/>
                <w:szCs w:val="16"/>
                <w:color w:val="auto"/>
              </w:rPr>
            </w:pPr>
          </w:p>
        </w:tc>
        <w:tc>
          <w:tcPr>
            <w:tcW w:w="220" w:type="dxa"/>
            <w:vAlign w:val="bottom"/>
            <w:gridSpan w:val="4"/>
            <w:vMerge w:val="continue"/>
            <w:shd w:val="clear" w:color="auto" w:fill="CCEEFF"/>
          </w:tcPr>
          <w:p>
            <w:pPr>
              <w:spacing w:after="0"/>
              <w:rPr>
                <w:sz w:val="16"/>
                <w:szCs w:val="16"/>
                <w:color w:val="auto"/>
              </w:rPr>
            </w:pPr>
          </w:p>
        </w:tc>
        <w:tc>
          <w:tcPr>
            <w:tcW w:w="1200" w:type="dxa"/>
            <w:vAlign w:val="bottom"/>
            <w:gridSpan w:val="3"/>
            <w:vMerge w:val="continue"/>
            <w:shd w:val="clear" w:color="auto" w:fill="CCEEFF"/>
          </w:tcPr>
          <w:p>
            <w:pPr>
              <w:spacing w:after="0"/>
              <w:rPr>
                <w:sz w:val="16"/>
                <w:szCs w:val="16"/>
                <w:color w:val="auto"/>
              </w:rPr>
            </w:pPr>
          </w:p>
        </w:tc>
        <w:tc>
          <w:tcPr>
            <w:tcW w:w="160" w:type="dxa"/>
            <w:vAlign w:val="bottom"/>
            <w:gridSpan w:val="2"/>
            <w:vMerge w:val="continue"/>
            <w:shd w:val="clear" w:color="auto" w:fill="CCEEFF"/>
          </w:tcPr>
          <w:p>
            <w:pPr>
              <w:spacing w:after="0"/>
              <w:rPr>
                <w:sz w:val="16"/>
                <w:szCs w:val="16"/>
                <w:color w:val="auto"/>
              </w:rPr>
            </w:pPr>
          </w:p>
        </w:tc>
        <w:tc>
          <w:tcPr>
            <w:tcW w:w="1100" w:type="dxa"/>
            <w:vAlign w:val="bottom"/>
            <w:vMerge w:val="continue"/>
            <w:shd w:val="clear" w:color="auto" w:fill="CCEEFF"/>
          </w:tcPr>
          <w:p>
            <w:pPr>
              <w:spacing w:after="0"/>
              <w:rPr>
                <w:sz w:val="16"/>
                <w:szCs w:val="16"/>
                <w:color w:val="auto"/>
              </w:rPr>
            </w:pPr>
          </w:p>
        </w:tc>
        <w:tc>
          <w:tcPr>
            <w:tcW w:w="6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bl>
    <w:p>
      <w:pPr>
        <w:spacing w:after="0" w:line="280"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Derivatives not designated as hedging instruments</w:t>
      </w:r>
    </w:p>
    <w:p>
      <w:pPr>
        <w:spacing w:after="0" w:line="232" w:lineRule="exact"/>
        <w:rPr>
          <w:sz w:val="20"/>
          <w:szCs w:val="20"/>
          <w:color w:val="auto"/>
        </w:rPr>
      </w:pPr>
    </w:p>
    <w:p>
      <w:pPr>
        <w:ind w:firstLine="351"/>
        <w:spacing w:after="0" w:line="257" w:lineRule="auto"/>
        <w:rPr>
          <w:sz w:val="20"/>
          <w:szCs w:val="20"/>
          <w:color w:val="auto"/>
        </w:rPr>
      </w:pPr>
      <w:r>
        <w:rPr>
          <w:rFonts w:ascii="Arial" w:cs="Arial" w:eastAsia="Arial" w:hAnsi="Arial"/>
          <w:sz w:val="15"/>
          <w:szCs w:val="15"/>
          <w:color w:val="auto"/>
        </w:rPr>
        <w:t>Autodesk uses foreign currency contracts that are not designated as hedging instruments to reduce the exchange rate risk associated primarily with foreign currency denominated receivables, payables, and cash. The notional amounts of these foreign currency contracts are presented net settled and were $108 million at April 30, 2023, and $951 million at January 31, 2023.</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39"/>
        <w:spacing w:after="0"/>
        <w:rPr>
          <w:sz w:val="20"/>
          <w:szCs w:val="20"/>
          <w:color w:val="auto"/>
        </w:rPr>
      </w:pPr>
      <w:r>
        <w:rPr>
          <w:rFonts w:ascii="Arial" w:cs="Arial" w:eastAsia="Arial" w:hAnsi="Arial"/>
          <w:sz w:val="15"/>
          <w:szCs w:val="15"/>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40"/>
          </w:cols>
          <w:pgMar w:left="660" w:top="1230" w:right="700" w:bottom="1440" w:gutter="0" w:footer="0" w:header="0"/>
        </w:sectPr>
      </w:pPr>
    </w:p>
    <w:bookmarkStart w:id="25" w:name="page26"/>
    <w:bookmarkEnd w:id="25"/>
    <w:p>
      <w:pPr>
        <w:spacing w:after="0"/>
        <w:rPr>
          <w:sz w:val="20"/>
          <w:szCs w:val="20"/>
          <w:color w:val="auto"/>
        </w:rPr>
      </w:pPr>
      <w:r>
        <w:rPr>
          <w:rFonts w:ascii="Arial" w:cs="Arial" w:eastAsia="Arial" w:hAnsi="Arial"/>
          <w:sz w:val="15"/>
          <w:szCs w:val="15"/>
          <w:b w:val="1"/>
          <w:bCs w:val="1"/>
          <w:i w:val="1"/>
          <w:iCs w:val="1"/>
          <w:color w:val="auto"/>
        </w:rPr>
        <w:t>16. Commitments and Contingencies</w:t>
      </w:r>
    </w:p>
    <w:p>
      <w:pPr>
        <w:spacing w:after="0" w:line="228"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Purchase Commitments</w:t>
      </w:r>
    </w:p>
    <w:p>
      <w:pPr>
        <w:spacing w:after="0" w:line="232" w:lineRule="exact"/>
        <w:rPr>
          <w:sz w:val="20"/>
          <w:szCs w:val="20"/>
          <w:color w:val="auto"/>
        </w:rPr>
      </w:pPr>
    </w:p>
    <w:p>
      <w:pPr>
        <w:ind w:firstLine="387"/>
        <w:spacing w:after="0" w:line="257" w:lineRule="auto"/>
        <w:rPr>
          <w:sz w:val="20"/>
          <w:szCs w:val="20"/>
          <w:color w:val="auto"/>
        </w:rPr>
      </w:pPr>
      <w:r>
        <w:rPr>
          <w:rFonts w:ascii="Arial" w:cs="Arial" w:eastAsia="Arial" w:hAnsi="Arial"/>
          <w:sz w:val="15"/>
          <w:szCs w:val="15"/>
          <w:color w:val="auto"/>
        </w:rPr>
        <w:t>In the normal course of business, Autodesk enters into various purchase commitments for goods or services. Effective April 1, 2023, Autodesk entered into a renewed agreement with a third-party cloud services provider. Under the agreement, Autodesk committed to spend an aggregate of $750 million through March 31, 2028, on cloud services.</w:t>
      </w:r>
    </w:p>
    <w:p>
      <w:pPr>
        <w:spacing w:after="0" w:line="190"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Guarantees and Indemnifications</w:t>
      </w:r>
    </w:p>
    <w:p>
      <w:pPr>
        <w:spacing w:after="0" w:line="232" w:lineRule="exact"/>
        <w:rPr>
          <w:sz w:val="20"/>
          <w:szCs w:val="20"/>
          <w:color w:val="auto"/>
        </w:rPr>
      </w:pPr>
    </w:p>
    <w:p>
      <w:pPr>
        <w:ind w:firstLine="387"/>
        <w:spacing w:after="0" w:line="251" w:lineRule="auto"/>
        <w:rPr>
          <w:sz w:val="20"/>
          <w:szCs w:val="20"/>
          <w:color w:val="auto"/>
        </w:rPr>
      </w:pPr>
      <w:r>
        <w:rPr>
          <w:rFonts w:ascii="Arial" w:cs="Arial" w:eastAsia="Arial" w:hAnsi="Arial"/>
          <w:sz w:val="15"/>
          <w:szCs w:val="15"/>
          <w:color w:val="auto"/>
        </w:rPr>
        <w:t>In the normal course of business, Autodesk provides indemnifications of varying scopes, including limited product warranties and indemnification of customers against claims of intellectual property infringement made by third parties arising from the use of its products or services. Autodesk accrues for known indemnification issues if a loss is probable and can be reasonably estimated. Historically, costs related to these indemnifications have not been significant, and because potential future costs are highly variable, Autodesk is unable to estimate the maximum potential impact of these indemnifications on its future results of operations.</w:t>
      </w:r>
    </w:p>
    <w:p>
      <w:pPr>
        <w:spacing w:after="0" w:line="199" w:lineRule="exact"/>
        <w:rPr>
          <w:sz w:val="20"/>
          <w:szCs w:val="20"/>
          <w:color w:val="auto"/>
        </w:rPr>
      </w:pPr>
    </w:p>
    <w:p>
      <w:pPr>
        <w:ind w:right="200" w:firstLine="387"/>
        <w:spacing w:after="0" w:line="253" w:lineRule="auto"/>
        <w:rPr>
          <w:sz w:val="20"/>
          <w:szCs w:val="20"/>
          <w:color w:val="auto"/>
        </w:rPr>
      </w:pPr>
      <w:r>
        <w:rPr>
          <w:rFonts w:ascii="Arial" w:cs="Arial" w:eastAsia="Arial" w:hAnsi="Arial"/>
          <w:sz w:val="15"/>
          <w:szCs w:val="15"/>
          <w:color w:val="auto"/>
        </w:rPr>
        <w:t>In connection with the purchase, sale, or license of assets or businesses with third parties, Autodesk has entered into or assumed customary indemnification agreements related to the assets or businesses purchased, sold, or licensed. Historically, costs related to these indemnifications have not been significant, and because potential future costs are highly variable, Autodesk is unable to estimate the maximum potential impact of these indemnifications on its future results of operations.</w:t>
      </w:r>
    </w:p>
    <w:p>
      <w:pPr>
        <w:spacing w:after="0" w:line="198" w:lineRule="exact"/>
        <w:rPr>
          <w:sz w:val="20"/>
          <w:szCs w:val="20"/>
          <w:color w:val="auto"/>
        </w:rPr>
      </w:pPr>
    </w:p>
    <w:p>
      <w:pPr>
        <w:ind w:right="180" w:firstLine="387"/>
        <w:spacing w:after="0" w:line="251" w:lineRule="auto"/>
        <w:rPr>
          <w:sz w:val="20"/>
          <w:szCs w:val="20"/>
          <w:color w:val="auto"/>
        </w:rPr>
      </w:pPr>
      <w:r>
        <w:rPr>
          <w:rFonts w:ascii="Arial" w:cs="Arial" w:eastAsia="Arial" w:hAnsi="Arial"/>
          <w:sz w:val="15"/>
          <w:szCs w:val="15"/>
          <w:color w:val="auto"/>
        </w:rPr>
        <w:t>As permitted under Delaware law, Autodesk has agreements whereby it indemnifies its officers and directors for certain events or occurrences while the officer or director is, or was, serving at Autodesk’s request in such capacity. The maximum potential amount of future payments Autodesk could be required to make under these indemnification agreements is unlimited; however, Autodesk has directors’ and officers’ liability insurance coverage that is intended to reduce its financial exposure and may enable Autodesk to recover a portion of any future amounts paid. Autodesk believes the estimated fair value of these indemnification agreements in excess of applicable insurance coverage is minimal.</w:t>
      </w:r>
    </w:p>
    <w:p>
      <w:pPr>
        <w:spacing w:after="0" w:line="193"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Legal Proceedings</w:t>
      </w:r>
    </w:p>
    <w:p>
      <w:pPr>
        <w:spacing w:after="0" w:line="232" w:lineRule="exact"/>
        <w:rPr>
          <w:sz w:val="20"/>
          <w:szCs w:val="20"/>
          <w:color w:val="auto"/>
        </w:rPr>
      </w:pPr>
    </w:p>
    <w:p>
      <w:pPr>
        <w:ind w:firstLine="351"/>
        <w:spacing w:after="0" w:line="247" w:lineRule="auto"/>
        <w:rPr>
          <w:sz w:val="20"/>
          <w:szCs w:val="20"/>
          <w:color w:val="auto"/>
        </w:rPr>
      </w:pPr>
      <w:r>
        <w:rPr>
          <w:rFonts w:ascii="Arial" w:cs="Arial" w:eastAsia="Arial" w:hAnsi="Arial"/>
          <w:sz w:val="15"/>
          <w:szCs w:val="15"/>
          <w:color w:val="auto"/>
        </w:rPr>
        <w:t>Autodesk is involved in a variety of claims, suits, investigations, inquiries, and proceedings in the normal course of business including claims of alleged infringement of intellectual property rights, commercial, employment, tax, prosecution of unauthorized use, business practices, and other matters. Autodesk routinely reviews the status of each significant matter and assesses its potential financial exposure. If the potential loss from any matter is considered probable and the amount can be reasonably estimated, Autodesk records a liability for the estimated loss. Because of inherent uncertainties related to these legal matters, Autodesk bases its loss accruals on the best information available at the time. As additional information becomes available, Autodesk reassesses its potential liability and may revise its estimates. In the Company's opinion, resolution of pending matters is not expected to have a material adverse impact on its consolidated results of operations, cash flows, or its financial position. Given the unpredictable nature of legal proceedings, there is a reasonable possibility that an unfavorable resolution of one or more such proceedings could in the future materially affect the Company's results of operations, cash flows, or financial position in a particular period, however, based on the information known by the Company as of the date of this filing and the rules and regulations applicable to the preparation of the Company's financial statements, any such amount is either immaterial or it is not possible to provide an estimated amount of any such potential loss.</w:t>
      </w: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ind w:right="-79"/>
        <w:spacing w:after="0"/>
        <w:rPr>
          <w:sz w:val="20"/>
          <w:szCs w:val="20"/>
          <w:color w:val="auto"/>
        </w:rPr>
      </w:pPr>
      <w:r>
        <w:rPr>
          <w:rFonts w:ascii="Arial" w:cs="Arial" w:eastAsia="Arial" w:hAnsi="Arial"/>
          <w:sz w:val="15"/>
          <w:szCs w:val="15"/>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00"/>
          </w:cols>
          <w:pgMar w:left="660" w:top="1222" w:right="740" w:bottom="1440" w:gutter="0" w:footer="0" w:header="0"/>
        </w:sectPr>
      </w:pPr>
    </w:p>
    <w:bookmarkStart w:id="26" w:name="page27"/>
    <w:bookmarkEnd w:id="26"/>
    <w:p>
      <w:pPr>
        <w:spacing w:after="0"/>
        <w:rPr>
          <w:sz w:val="20"/>
          <w:szCs w:val="20"/>
          <w:color w:val="auto"/>
        </w:rPr>
      </w:pPr>
      <w:r>
        <w:rPr>
          <w:rFonts w:ascii="Arial" w:cs="Arial" w:eastAsia="Arial" w:hAnsi="Arial"/>
          <w:sz w:val="15"/>
          <w:szCs w:val="15"/>
          <w:b w:val="1"/>
          <w:bCs w:val="1"/>
          <w:i w:val="1"/>
          <w:iCs w:val="1"/>
          <w:color w:val="auto"/>
        </w:rPr>
        <w:t>17. Stockholders' Equity</w:t>
      </w:r>
    </w:p>
    <w:p>
      <w:pPr>
        <w:spacing w:after="0" w:line="234" w:lineRule="exact"/>
        <w:rPr>
          <w:sz w:val="20"/>
          <w:szCs w:val="20"/>
          <w:color w:val="auto"/>
        </w:rPr>
      </w:pPr>
    </w:p>
    <w:p>
      <w:pPr>
        <w:ind w:left="360"/>
        <w:spacing w:after="0"/>
        <w:rPr>
          <w:sz w:val="20"/>
          <w:szCs w:val="20"/>
          <w:color w:val="auto"/>
        </w:rPr>
      </w:pPr>
      <w:r>
        <w:rPr>
          <w:rFonts w:ascii="Arial" w:cs="Arial" w:eastAsia="Arial" w:hAnsi="Arial"/>
          <w:sz w:val="15"/>
          <w:szCs w:val="15"/>
          <w:color w:val="auto"/>
        </w:rPr>
        <w:t>Changes in stockholders' equity by component, net of tax, as of April 30, 2023, are as follows:</w: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4480" w:type="dxa"/>
            <w:vAlign w:val="bottom"/>
          </w:tcPr>
          <w:p>
            <w:pPr>
              <w:spacing w:after="0"/>
              <w:rPr>
                <w:sz w:val="13"/>
                <w:szCs w:val="13"/>
                <w:color w:val="auto"/>
              </w:rPr>
            </w:pPr>
          </w:p>
        </w:tc>
        <w:tc>
          <w:tcPr>
            <w:tcW w:w="2060" w:type="dxa"/>
            <w:vAlign w:val="bottom"/>
            <w:gridSpan w:val="4"/>
          </w:tcPr>
          <w:p>
            <w:pPr>
              <w:jc w:val="right"/>
              <w:ind w:right="51"/>
              <w:spacing w:after="0"/>
              <w:rPr>
                <w:sz w:val="20"/>
                <w:szCs w:val="20"/>
                <w:color w:val="auto"/>
              </w:rPr>
            </w:pPr>
            <w:r>
              <w:rPr>
                <w:rFonts w:ascii="Arial" w:cs="Arial" w:eastAsia="Arial" w:hAnsi="Arial"/>
                <w:sz w:val="13"/>
                <w:szCs w:val="13"/>
                <w:b w:val="1"/>
                <w:bCs w:val="1"/>
                <w:color w:val="auto"/>
              </w:rPr>
              <w:t>Common stock and additional</w:t>
            </w:r>
          </w:p>
        </w:tc>
        <w:tc>
          <w:tcPr>
            <w:tcW w:w="1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8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80" w:type="dxa"/>
            <w:vAlign w:val="bottom"/>
          </w:tcPr>
          <w:p>
            <w:pPr>
              <w:spacing w:after="0"/>
              <w:rPr>
                <w:sz w:val="13"/>
                <w:szCs w:val="13"/>
                <w:color w:val="auto"/>
              </w:rPr>
            </w:pPr>
          </w:p>
        </w:tc>
      </w:tr>
      <w:tr>
        <w:trPr>
          <w:trHeight w:val="176"/>
        </w:trPr>
        <w:tc>
          <w:tcPr>
            <w:tcW w:w="4480" w:type="dxa"/>
            <w:vAlign w:val="bottom"/>
          </w:tcPr>
          <w:p>
            <w:pPr>
              <w:spacing w:after="0"/>
              <w:rPr>
                <w:sz w:val="15"/>
                <w:szCs w:val="15"/>
                <w:color w:val="auto"/>
              </w:rPr>
            </w:pPr>
          </w:p>
        </w:tc>
        <w:tc>
          <w:tcPr>
            <w:tcW w:w="2060" w:type="dxa"/>
            <w:vAlign w:val="bottom"/>
            <w:tcBorders>
              <w:bottom w:val="single" w:sz="8" w:color="auto"/>
            </w:tcBorders>
            <w:gridSpan w:val="4"/>
          </w:tcPr>
          <w:p>
            <w:pPr>
              <w:jc w:val="right"/>
              <w:ind w:right="531"/>
              <w:spacing w:after="0"/>
              <w:rPr>
                <w:sz w:val="20"/>
                <w:szCs w:val="20"/>
                <w:color w:val="auto"/>
              </w:rPr>
            </w:pPr>
            <w:r>
              <w:rPr>
                <w:rFonts w:ascii="Arial" w:cs="Arial" w:eastAsia="Arial" w:hAnsi="Arial"/>
                <w:sz w:val="13"/>
                <w:szCs w:val="13"/>
                <w:b w:val="1"/>
                <w:bCs w:val="1"/>
                <w:color w:val="auto"/>
              </w:rPr>
              <w:t>paid-in capital</w:t>
            </w:r>
          </w:p>
        </w:tc>
        <w:tc>
          <w:tcPr>
            <w:tcW w:w="100" w:type="dxa"/>
            <w:vAlign w:val="bottom"/>
          </w:tcPr>
          <w:p>
            <w:pPr>
              <w:spacing w:after="0"/>
              <w:rPr>
                <w:sz w:val="15"/>
                <w:szCs w:val="15"/>
                <w:color w:val="auto"/>
              </w:rPr>
            </w:pPr>
          </w:p>
        </w:tc>
        <w:tc>
          <w:tcPr>
            <w:tcW w:w="1300" w:type="dxa"/>
            <w:vAlign w:val="bottom"/>
            <w:gridSpan w:val="2"/>
          </w:tcPr>
          <w:p>
            <w:pPr>
              <w:jc w:val="right"/>
              <w:ind w:right="10"/>
              <w:spacing w:after="0"/>
              <w:rPr>
                <w:sz w:val="20"/>
                <w:szCs w:val="20"/>
                <w:color w:val="auto"/>
              </w:rPr>
            </w:pPr>
            <w:r>
              <w:rPr>
                <w:rFonts w:ascii="Arial" w:cs="Arial" w:eastAsia="Arial" w:hAnsi="Arial"/>
                <w:sz w:val="13"/>
                <w:szCs w:val="13"/>
                <w:b w:val="1"/>
                <w:bCs w:val="1"/>
                <w:color w:val="auto"/>
              </w:rPr>
              <w:t>Accumulated other</w:t>
            </w: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060" w:type="dxa"/>
            <w:vAlign w:val="bottom"/>
          </w:tcPr>
          <w:p>
            <w:pPr>
              <w:jc w:val="right"/>
              <w:ind w:right="132"/>
              <w:spacing w:after="0"/>
              <w:rPr>
                <w:sz w:val="20"/>
                <w:szCs w:val="20"/>
                <w:color w:val="auto"/>
              </w:rPr>
            </w:pPr>
            <w:r>
              <w:rPr>
                <w:rFonts w:ascii="Arial" w:cs="Arial" w:eastAsia="Arial" w:hAnsi="Arial"/>
                <w:sz w:val="13"/>
                <w:szCs w:val="13"/>
                <w:b w:val="1"/>
                <w:bCs w:val="1"/>
                <w:color w:val="auto"/>
              </w:rPr>
              <w:t>Accumulated</w:t>
            </w:r>
          </w:p>
        </w:tc>
        <w:tc>
          <w:tcPr>
            <w:tcW w:w="80" w:type="dxa"/>
            <w:vAlign w:val="bottom"/>
          </w:tcPr>
          <w:p>
            <w:pPr>
              <w:spacing w:after="0"/>
              <w:rPr>
                <w:sz w:val="15"/>
                <w:szCs w:val="15"/>
                <w:color w:val="auto"/>
              </w:rPr>
            </w:pPr>
          </w:p>
        </w:tc>
        <w:tc>
          <w:tcPr>
            <w:tcW w:w="1260" w:type="dxa"/>
            <w:vAlign w:val="bottom"/>
            <w:gridSpan w:val="2"/>
          </w:tcPr>
          <w:p>
            <w:pPr>
              <w:jc w:val="right"/>
              <w:spacing w:after="0"/>
              <w:rPr>
                <w:sz w:val="20"/>
                <w:szCs w:val="20"/>
                <w:color w:val="auto"/>
              </w:rPr>
            </w:pPr>
            <w:r>
              <w:rPr>
                <w:rFonts w:ascii="Arial" w:cs="Arial" w:eastAsia="Arial" w:hAnsi="Arial"/>
                <w:sz w:val="13"/>
                <w:szCs w:val="13"/>
                <w:b w:val="1"/>
                <w:bCs w:val="1"/>
                <w:color w:val="auto"/>
              </w:rPr>
              <w:t>Total stockholders'</w:t>
            </w:r>
          </w:p>
        </w:tc>
      </w:tr>
      <w:tr>
        <w:trPr>
          <w:trHeight w:val="167"/>
        </w:trPr>
        <w:tc>
          <w:tcPr>
            <w:tcW w:w="4480" w:type="dxa"/>
            <w:vAlign w:val="bottom"/>
            <w:tcBorders>
              <w:bottom w:val="single" w:sz="8" w:color="CCEEFF"/>
            </w:tcBorders>
          </w:tcPr>
          <w:p>
            <w:pPr>
              <w:spacing w:after="0"/>
              <w:rPr>
                <w:sz w:val="14"/>
                <w:szCs w:val="14"/>
                <w:color w:val="auto"/>
              </w:rPr>
            </w:pPr>
          </w:p>
        </w:tc>
        <w:tc>
          <w:tcPr>
            <w:tcW w:w="1020" w:type="dxa"/>
            <w:vAlign w:val="bottom"/>
            <w:tcBorders>
              <w:bottom w:val="single" w:sz="8" w:color="auto"/>
            </w:tcBorders>
          </w:tcPr>
          <w:p>
            <w:pPr>
              <w:jc w:val="right"/>
              <w:ind w:right="232"/>
              <w:spacing w:after="0"/>
              <w:rPr>
                <w:sz w:val="20"/>
                <w:szCs w:val="20"/>
                <w:color w:val="auto"/>
              </w:rPr>
            </w:pPr>
            <w:r>
              <w:rPr>
                <w:rFonts w:ascii="Arial" w:cs="Arial" w:eastAsia="Arial" w:hAnsi="Arial"/>
                <w:sz w:val="13"/>
                <w:szCs w:val="13"/>
                <w:b w:val="1"/>
                <w:bCs w:val="1"/>
                <w:color w:val="auto"/>
              </w:rPr>
              <w:t>Shares</w:t>
            </w:r>
          </w:p>
        </w:tc>
        <w:tc>
          <w:tcPr>
            <w:tcW w:w="10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jc w:val="right"/>
              <w:ind w:right="171"/>
              <w:spacing w:after="0"/>
              <w:rPr>
                <w:sz w:val="20"/>
                <w:szCs w:val="20"/>
                <w:color w:val="auto"/>
              </w:rPr>
            </w:pPr>
            <w:r>
              <w:rPr>
                <w:rFonts w:ascii="Arial" w:cs="Arial" w:eastAsia="Arial" w:hAnsi="Arial"/>
                <w:sz w:val="13"/>
                <w:szCs w:val="13"/>
                <w:b w:val="1"/>
                <w:bCs w:val="1"/>
                <w:color w:val="auto"/>
              </w:rPr>
              <w:t>Amount</w:t>
            </w:r>
          </w:p>
        </w:tc>
        <w:tc>
          <w:tcPr>
            <w:tcW w:w="100" w:type="dxa"/>
            <w:vAlign w:val="bottom"/>
            <w:tcBorders>
              <w:bottom w:val="single" w:sz="8" w:color="CCEEFF"/>
            </w:tcBorders>
          </w:tcPr>
          <w:p>
            <w:pPr>
              <w:spacing w:after="0"/>
              <w:rPr>
                <w:sz w:val="14"/>
                <w:szCs w:val="14"/>
                <w:color w:val="auto"/>
              </w:rPr>
            </w:pPr>
          </w:p>
        </w:tc>
        <w:tc>
          <w:tcPr>
            <w:tcW w:w="1300" w:type="dxa"/>
            <w:vAlign w:val="bottom"/>
            <w:tcBorders>
              <w:bottom w:val="single" w:sz="8" w:color="auto"/>
            </w:tcBorders>
            <w:gridSpan w:val="2"/>
          </w:tcPr>
          <w:p>
            <w:pPr>
              <w:ind w:left="20"/>
              <w:spacing w:after="0"/>
              <w:rPr>
                <w:sz w:val="20"/>
                <w:szCs w:val="20"/>
                <w:color w:val="auto"/>
              </w:rPr>
            </w:pPr>
            <w:r>
              <w:rPr>
                <w:rFonts w:ascii="Arial" w:cs="Arial" w:eastAsia="Arial" w:hAnsi="Arial"/>
                <w:sz w:val="13"/>
                <w:szCs w:val="13"/>
                <w:b w:val="1"/>
                <w:bCs w:val="1"/>
                <w:color w:val="auto"/>
              </w:rPr>
              <w:t>comprehensive loss</w:t>
            </w:r>
          </w:p>
        </w:tc>
        <w:tc>
          <w:tcPr>
            <w:tcW w:w="8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1060" w:type="dxa"/>
            <w:vAlign w:val="bottom"/>
            <w:tcBorders>
              <w:bottom w:val="single" w:sz="8" w:color="auto"/>
            </w:tcBorders>
          </w:tcPr>
          <w:p>
            <w:pPr>
              <w:jc w:val="right"/>
              <w:ind w:right="352"/>
              <w:spacing w:after="0"/>
              <w:rPr>
                <w:sz w:val="20"/>
                <w:szCs w:val="20"/>
                <w:color w:val="auto"/>
              </w:rPr>
            </w:pPr>
            <w:r>
              <w:rPr>
                <w:rFonts w:ascii="Arial" w:cs="Arial" w:eastAsia="Arial" w:hAnsi="Arial"/>
                <w:sz w:val="13"/>
                <w:szCs w:val="13"/>
                <w:b w:val="1"/>
                <w:bCs w:val="1"/>
                <w:color w:val="auto"/>
              </w:rPr>
              <w:t>deficit</w:t>
            </w:r>
          </w:p>
        </w:tc>
        <w:tc>
          <w:tcPr>
            <w:tcW w:w="8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jc w:val="right"/>
              <w:ind w:right="370"/>
              <w:spacing w:after="0"/>
              <w:rPr>
                <w:sz w:val="20"/>
                <w:szCs w:val="20"/>
                <w:color w:val="auto"/>
              </w:rPr>
            </w:pPr>
            <w:r>
              <w:rPr>
                <w:rFonts w:ascii="Arial" w:cs="Arial" w:eastAsia="Arial" w:hAnsi="Arial"/>
                <w:sz w:val="13"/>
                <w:szCs w:val="13"/>
                <w:b w:val="1"/>
                <w:bCs w:val="1"/>
                <w:color w:val="auto"/>
              </w:rPr>
              <w:t>equity</w:t>
            </w:r>
          </w:p>
        </w:tc>
      </w:tr>
      <w:tr>
        <w:trPr>
          <w:trHeight w:val="179"/>
        </w:trPr>
        <w:tc>
          <w:tcPr>
            <w:tcW w:w="4480" w:type="dxa"/>
            <w:vAlign w:val="bottom"/>
            <w:shd w:val="clear" w:color="auto" w:fill="CCEEFF"/>
          </w:tcPr>
          <w:p>
            <w:pPr>
              <w:ind w:left="20"/>
              <w:spacing w:after="0"/>
              <w:rPr>
                <w:sz w:val="20"/>
                <w:szCs w:val="20"/>
                <w:color w:val="auto"/>
              </w:rPr>
            </w:pPr>
            <w:r>
              <w:rPr>
                <w:rFonts w:ascii="Arial" w:cs="Arial" w:eastAsia="Arial" w:hAnsi="Arial"/>
                <w:sz w:val="14"/>
                <w:szCs w:val="14"/>
                <w:color w:val="auto"/>
              </w:rPr>
              <w:t>Balances, January 31, 2023</w:t>
            </w:r>
          </w:p>
        </w:tc>
        <w:tc>
          <w:tcPr>
            <w:tcW w:w="102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215</w:t>
            </w:r>
          </w:p>
        </w:tc>
        <w:tc>
          <w:tcPr>
            <w:tcW w:w="260" w:type="dxa"/>
            <w:vAlign w:val="bottom"/>
            <w:gridSpan w:val="2"/>
            <w:shd w:val="clear" w:color="auto" w:fill="CCEEFF"/>
          </w:tcPr>
          <w:p>
            <w:pPr>
              <w:jc w:val="right"/>
              <w:ind w:right="80"/>
              <w:spacing w:after="0"/>
              <w:rPr>
                <w:sz w:val="20"/>
                <w:szCs w:val="20"/>
                <w:color w:val="auto"/>
              </w:rPr>
            </w:pPr>
            <w:r>
              <w:rPr>
                <w:rFonts w:ascii="Arial" w:cs="Arial" w:eastAsia="Arial" w:hAnsi="Arial"/>
                <w:sz w:val="14"/>
                <w:szCs w:val="14"/>
                <w:color w:val="auto"/>
              </w:rPr>
              <w:t>$</w:t>
            </w:r>
          </w:p>
        </w:tc>
        <w:tc>
          <w:tcPr>
            <w:tcW w:w="7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3,325</w:t>
            </w:r>
          </w:p>
        </w:tc>
        <w:tc>
          <w:tcPr>
            <w:tcW w:w="600" w:type="dxa"/>
            <w:vAlign w:val="bottom"/>
            <w:gridSpan w:val="2"/>
            <w:shd w:val="clear" w:color="auto" w:fill="CCEEFF"/>
          </w:tcPr>
          <w:p>
            <w:pPr>
              <w:ind w:left="100"/>
              <w:spacing w:after="0"/>
              <w:rPr>
                <w:sz w:val="20"/>
                <w:szCs w:val="20"/>
                <w:color w:val="auto"/>
              </w:rPr>
            </w:pPr>
            <w:r>
              <w:rPr>
                <w:rFonts w:ascii="Arial" w:cs="Arial" w:eastAsia="Arial" w:hAnsi="Arial"/>
                <w:sz w:val="14"/>
                <w:szCs w:val="14"/>
                <w:color w:val="auto"/>
              </w:rPr>
              <w:t>$</w:t>
            </w:r>
          </w:p>
        </w:tc>
        <w:tc>
          <w:tcPr>
            <w:tcW w:w="8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(185)</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0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(1,995)</w:t>
            </w:r>
          </w:p>
        </w:tc>
        <w:tc>
          <w:tcPr>
            <w:tcW w:w="360" w:type="dxa"/>
            <w:vAlign w:val="bottom"/>
            <w:gridSpan w:val="2"/>
            <w:shd w:val="clear" w:color="auto" w:fill="CCEEFF"/>
          </w:tcPr>
          <w:p>
            <w:pPr>
              <w:jc w:val="right"/>
              <w:ind w:right="116"/>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1,145</w:t>
            </w:r>
          </w:p>
        </w:tc>
      </w:tr>
      <w:tr>
        <w:trPr>
          <w:trHeight w:val="185"/>
        </w:trPr>
        <w:tc>
          <w:tcPr>
            <w:tcW w:w="4480" w:type="dxa"/>
            <w:vAlign w:val="bottom"/>
          </w:tcPr>
          <w:p>
            <w:pPr>
              <w:ind w:left="20"/>
              <w:spacing w:after="0"/>
              <w:rPr>
                <w:sz w:val="20"/>
                <w:szCs w:val="20"/>
                <w:color w:val="auto"/>
              </w:rPr>
            </w:pPr>
            <w:r>
              <w:rPr>
                <w:rFonts w:ascii="Arial" w:cs="Arial" w:eastAsia="Arial" w:hAnsi="Arial"/>
                <w:sz w:val="14"/>
                <w:szCs w:val="14"/>
                <w:color w:val="auto"/>
              </w:rPr>
              <w:t>Common shares issued under stock plans</w:t>
            </w: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80" w:type="dxa"/>
            <w:vAlign w:val="bottom"/>
          </w:tcPr>
          <w:p>
            <w:pPr>
              <w:jc w:val="right"/>
              <w:spacing w:after="0"/>
              <w:rPr>
                <w:sz w:val="20"/>
                <w:szCs w:val="20"/>
                <w:color w:val="auto"/>
              </w:rPr>
            </w:pPr>
            <w:r>
              <w:rPr>
                <w:rFonts w:ascii="Arial" w:cs="Arial" w:eastAsia="Arial" w:hAnsi="Arial"/>
                <w:sz w:val="14"/>
                <w:szCs w:val="14"/>
                <w:color w:val="auto"/>
              </w:rPr>
              <w:t>(21)</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(21)</w:t>
            </w:r>
          </w:p>
        </w:tc>
      </w:tr>
      <w:tr>
        <w:trPr>
          <w:trHeight w:val="190"/>
        </w:trPr>
        <w:tc>
          <w:tcPr>
            <w:tcW w:w="4480" w:type="dxa"/>
            <w:vAlign w:val="bottom"/>
            <w:shd w:val="clear" w:color="auto" w:fill="CCEEFF"/>
          </w:tcPr>
          <w:p>
            <w:pPr>
              <w:ind w:left="20"/>
              <w:spacing w:after="0"/>
              <w:rPr>
                <w:sz w:val="20"/>
                <w:szCs w:val="20"/>
                <w:color w:val="auto"/>
              </w:rPr>
            </w:pPr>
            <w:r>
              <w:rPr>
                <w:rFonts w:ascii="Arial" w:cs="Arial" w:eastAsia="Arial" w:hAnsi="Arial"/>
                <w:sz w:val="14"/>
                <w:szCs w:val="14"/>
                <w:color w:val="auto"/>
              </w:rPr>
              <w:t>Stock-based compensation expense</w:t>
            </w:r>
          </w:p>
        </w:tc>
        <w:tc>
          <w:tcPr>
            <w:tcW w:w="10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160</w:t>
            </w: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80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10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8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160</w:t>
            </w:r>
          </w:p>
        </w:tc>
      </w:tr>
      <w:tr>
        <w:trPr>
          <w:trHeight w:val="185"/>
        </w:trPr>
        <w:tc>
          <w:tcPr>
            <w:tcW w:w="4480" w:type="dxa"/>
            <w:vAlign w:val="bottom"/>
          </w:tcPr>
          <w:p>
            <w:pPr>
              <w:ind w:left="20"/>
              <w:spacing w:after="0"/>
              <w:rPr>
                <w:sz w:val="20"/>
                <w:szCs w:val="20"/>
                <w:color w:val="auto"/>
              </w:rPr>
            </w:pPr>
            <w:r>
              <w:rPr>
                <w:rFonts w:ascii="Arial" w:cs="Arial" w:eastAsia="Arial" w:hAnsi="Arial"/>
                <w:sz w:val="14"/>
                <w:szCs w:val="14"/>
                <w:color w:val="auto"/>
              </w:rPr>
              <w:t>Settlement of liability-classified restricted common shares</w:t>
            </w:r>
          </w:p>
        </w:tc>
        <w:tc>
          <w:tcPr>
            <w:tcW w:w="10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80" w:type="dxa"/>
            <w:vAlign w:val="bottom"/>
          </w:tcPr>
          <w:p>
            <w:pPr>
              <w:jc w:val="right"/>
              <w:ind w:right="11"/>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80" w:type="dxa"/>
            <w:vAlign w:val="bottom"/>
          </w:tcPr>
          <w:p>
            <w:pPr>
              <w:jc w:val="right"/>
              <w:ind w:right="30"/>
              <w:spacing w:after="0"/>
              <w:rPr>
                <w:sz w:val="20"/>
                <w:szCs w:val="20"/>
                <w:color w:val="auto"/>
              </w:rPr>
            </w:pPr>
            <w:r>
              <w:rPr>
                <w:rFonts w:ascii="Arial" w:cs="Arial" w:eastAsia="Arial" w:hAnsi="Arial"/>
                <w:sz w:val="14"/>
                <w:szCs w:val="14"/>
                <w:color w:val="auto"/>
              </w:rPr>
              <w:t>1</w:t>
            </w:r>
          </w:p>
        </w:tc>
      </w:tr>
      <w:tr>
        <w:trPr>
          <w:trHeight w:val="190"/>
        </w:trPr>
        <w:tc>
          <w:tcPr>
            <w:tcW w:w="448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income</w:t>
            </w:r>
          </w:p>
        </w:tc>
        <w:tc>
          <w:tcPr>
            <w:tcW w:w="10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7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500" w:type="dxa"/>
            <w:vAlign w:val="bottom"/>
            <w:shd w:val="clear" w:color="auto" w:fill="CCEEFF"/>
          </w:tcPr>
          <w:p>
            <w:pPr>
              <w:spacing w:after="0"/>
              <w:rPr>
                <w:sz w:val="16"/>
                <w:szCs w:val="16"/>
                <w:color w:val="auto"/>
              </w:rPr>
            </w:pPr>
          </w:p>
        </w:tc>
        <w:tc>
          <w:tcPr>
            <w:tcW w:w="80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106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161</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8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161</w:t>
            </w:r>
          </w:p>
        </w:tc>
      </w:tr>
      <w:tr>
        <w:trPr>
          <w:trHeight w:val="185"/>
        </w:trPr>
        <w:tc>
          <w:tcPr>
            <w:tcW w:w="4480" w:type="dxa"/>
            <w:vAlign w:val="bottom"/>
          </w:tcPr>
          <w:p>
            <w:pPr>
              <w:ind w:left="20"/>
              <w:spacing w:after="0"/>
              <w:rPr>
                <w:sz w:val="20"/>
                <w:szCs w:val="20"/>
                <w:color w:val="auto"/>
              </w:rPr>
            </w:pPr>
            <w:r>
              <w:rPr>
                <w:rFonts w:ascii="Arial" w:cs="Arial" w:eastAsia="Arial" w:hAnsi="Arial"/>
                <w:sz w:val="14"/>
                <w:szCs w:val="14"/>
                <w:color w:val="auto"/>
              </w:rPr>
              <w:t>Other comprehensive loss</w:t>
            </w:r>
          </w:p>
        </w:tc>
        <w:tc>
          <w:tcPr>
            <w:tcW w:w="10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800" w:type="dxa"/>
            <w:vAlign w:val="bottom"/>
          </w:tcPr>
          <w:p>
            <w:pPr>
              <w:jc w:val="right"/>
              <w:spacing w:after="0"/>
              <w:rPr>
                <w:sz w:val="20"/>
                <w:szCs w:val="20"/>
                <w:color w:val="auto"/>
              </w:rPr>
            </w:pPr>
            <w:r>
              <w:rPr>
                <w:rFonts w:ascii="Arial" w:cs="Arial" w:eastAsia="Arial" w:hAnsi="Arial"/>
                <w:sz w:val="14"/>
                <w:szCs w:val="14"/>
                <w:color w:val="auto"/>
              </w:rPr>
              <w:t>(15)</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(15)</w:t>
            </w:r>
          </w:p>
        </w:tc>
      </w:tr>
      <w:tr>
        <w:trPr>
          <w:trHeight w:val="190"/>
        </w:trPr>
        <w:tc>
          <w:tcPr>
            <w:tcW w:w="4480" w:type="dxa"/>
            <w:vAlign w:val="bottom"/>
            <w:shd w:val="clear" w:color="auto" w:fill="CCEEFF"/>
          </w:tcPr>
          <w:p>
            <w:pPr>
              <w:ind w:left="20"/>
              <w:spacing w:after="0"/>
              <w:rPr>
                <w:sz w:val="20"/>
                <w:szCs w:val="20"/>
                <w:color w:val="auto"/>
              </w:rPr>
            </w:pPr>
            <w:r>
              <w:rPr>
                <w:rFonts w:ascii="Arial" w:cs="Arial" w:eastAsia="Arial" w:hAnsi="Arial"/>
                <w:sz w:val="14"/>
                <w:szCs w:val="14"/>
                <w:color w:val="auto"/>
              </w:rPr>
              <w:t>Repurchase and retirement of common shares (1)</w:t>
            </w: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(3)</w:t>
            </w:r>
          </w:p>
        </w:tc>
        <w:tc>
          <w:tcPr>
            <w:tcW w:w="100" w:type="dxa"/>
            <w:vAlign w:val="bottom"/>
            <w:shd w:val="clear" w:color="auto" w:fill="CCEEFF"/>
          </w:tcPr>
          <w:p>
            <w:pPr>
              <w:spacing w:after="0"/>
              <w:rPr>
                <w:sz w:val="16"/>
                <w:szCs w:val="16"/>
                <w:color w:val="auto"/>
              </w:rPr>
            </w:pPr>
          </w:p>
        </w:tc>
        <w:tc>
          <w:tcPr>
            <w:tcW w:w="160" w:type="dxa"/>
            <w:vAlign w:val="bottom"/>
            <w:tcBorders>
              <w:bottom w:val="single" w:sz="8" w:color="auto"/>
            </w:tcBorders>
            <w:shd w:val="clear" w:color="auto" w:fill="CCEEFF"/>
          </w:tcPr>
          <w:p>
            <w:pPr>
              <w:spacing w:after="0"/>
              <w:rPr>
                <w:sz w:val="16"/>
                <w:szCs w:val="16"/>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(97)</w:t>
            </w:r>
          </w:p>
        </w:tc>
        <w:tc>
          <w:tcPr>
            <w:tcW w:w="100" w:type="dxa"/>
            <w:vAlign w:val="bottom"/>
            <w:shd w:val="clear" w:color="auto" w:fill="CCEEFF"/>
          </w:tcPr>
          <w:p>
            <w:pPr>
              <w:spacing w:after="0"/>
              <w:rPr>
                <w:sz w:val="16"/>
                <w:szCs w:val="16"/>
                <w:color w:val="auto"/>
              </w:rPr>
            </w:pPr>
          </w:p>
        </w:tc>
        <w:tc>
          <w:tcPr>
            <w:tcW w:w="500" w:type="dxa"/>
            <w:vAlign w:val="bottom"/>
            <w:tcBorders>
              <w:bottom w:val="single" w:sz="8" w:color="auto"/>
            </w:tcBorders>
            <w:shd w:val="clear" w:color="auto" w:fill="CCEEFF"/>
          </w:tcPr>
          <w:p>
            <w:pPr>
              <w:spacing w:after="0"/>
              <w:rPr>
                <w:sz w:val="16"/>
                <w:szCs w:val="16"/>
                <w:color w:val="auto"/>
              </w:rPr>
            </w:pPr>
          </w:p>
        </w:tc>
        <w:tc>
          <w:tcPr>
            <w:tcW w:w="800" w:type="dxa"/>
            <w:vAlign w:val="bottom"/>
            <w:tcBorders>
              <w:bottom w:val="single" w:sz="8" w:color="auto"/>
            </w:tcBorders>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tcBorders>
              <w:bottom w:val="single" w:sz="8" w:color="auto"/>
            </w:tcBorders>
            <w:shd w:val="clear" w:color="auto" w:fill="CCEEFF"/>
          </w:tcPr>
          <w:p>
            <w:pPr>
              <w:spacing w:after="0"/>
              <w:rPr>
                <w:sz w:val="16"/>
                <w:szCs w:val="16"/>
                <w:color w:val="auto"/>
              </w:rPr>
            </w:pPr>
          </w:p>
        </w:tc>
        <w:tc>
          <w:tcPr>
            <w:tcW w:w="10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(437)</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(534)</w:t>
            </w:r>
          </w:p>
        </w:tc>
      </w:tr>
      <w:tr>
        <w:trPr>
          <w:trHeight w:val="177"/>
        </w:trPr>
        <w:tc>
          <w:tcPr>
            <w:tcW w:w="4480" w:type="dxa"/>
            <w:vAlign w:val="bottom"/>
          </w:tcPr>
          <w:p>
            <w:pPr>
              <w:ind w:left="20"/>
              <w:spacing w:after="0"/>
              <w:rPr>
                <w:sz w:val="20"/>
                <w:szCs w:val="20"/>
                <w:color w:val="auto"/>
              </w:rPr>
            </w:pPr>
            <w:r>
              <w:rPr>
                <w:rFonts w:ascii="Arial" w:cs="Arial" w:eastAsia="Arial" w:hAnsi="Arial"/>
                <w:sz w:val="14"/>
                <w:szCs w:val="14"/>
                <w:color w:val="auto"/>
              </w:rPr>
              <w:t>Balances, April 30, 2023</w:t>
            </w: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214</w:t>
            </w:r>
          </w:p>
        </w:tc>
        <w:tc>
          <w:tcPr>
            <w:tcW w:w="260" w:type="dxa"/>
            <w:vAlign w:val="bottom"/>
            <w:gridSpan w:val="2"/>
          </w:tcPr>
          <w:p>
            <w:pPr>
              <w:jc w:val="right"/>
              <w:ind w:right="80"/>
              <w:spacing w:after="0"/>
              <w:rPr>
                <w:sz w:val="20"/>
                <w:szCs w:val="20"/>
                <w:color w:val="auto"/>
              </w:rPr>
            </w:pPr>
            <w:r>
              <w:rPr>
                <w:rFonts w:ascii="Arial" w:cs="Arial" w:eastAsia="Arial" w:hAnsi="Arial"/>
                <w:sz w:val="14"/>
                <w:szCs w:val="14"/>
                <w:color w:val="auto"/>
              </w:rPr>
              <w:t>$</w:t>
            </w:r>
          </w:p>
        </w:tc>
        <w:tc>
          <w:tcPr>
            <w:tcW w:w="780" w:type="dxa"/>
            <w:vAlign w:val="bottom"/>
          </w:tcPr>
          <w:p>
            <w:pPr>
              <w:jc w:val="right"/>
              <w:spacing w:after="0"/>
              <w:rPr>
                <w:sz w:val="20"/>
                <w:szCs w:val="20"/>
                <w:color w:val="auto"/>
              </w:rPr>
            </w:pPr>
            <w:r>
              <w:rPr>
                <w:rFonts w:ascii="Arial" w:cs="Arial" w:eastAsia="Arial" w:hAnsi="Arial"/>
                <w:sz w:val="14"/>
                <w:szCs w:val="14"/>
                <w:color w:val="auto"/>
              </w:rPr>
              <w:t>3,368</w:t>
            </w:r>
          </w:p>
        </w:tc>
        <w:tc>
          <w:tcPr>
            <w:tcW w:w="600" w:type="dxa"/>
            <w:vAlign w:val="bottom"/>
            <w:gridSpan w:val="2"/>
          </w:tcPr>
          <w:p>
            <w:pPr>
              <w:ind w:left="100"/>
              <w:spacing w:after="0"/>
              <w:rPr>
                <w:sz w:val="20"/>
                <w:szCs w:val="20"/>
                <w:color w:val="auto"/>
              </w:rPr>
            </w:pPr>
            <w:r>
              <w:rPr>
                <w:rFonts w:ascii="Arial" w:cs="Arial" w:eastAsia="Arial" w:hAnsi="Arial"/>
                <w:sz w:val="14"/>
                <w:szCs w:val="14"/>
                <w:color w:val="auto"/>
              </w:rPr>
              <w:t>$</w:t>
            </w:r>
          </w:p>
        </w:tc>
        <w:tc>
          <w:tcPr>
            <w:tcW w:w="800" w:type="dxa"/>
            <w:vAlign w:val="bottom"/>
          </w:tcPr>
          <w:p>
            <w:pPr>
              <w:jc w:val="right"/>
              <w:spacing w:after="0"/>
              <w:rPr>
                <w:sz w:val="20"/>
                <w:szCs w:val="20"/>
                <w:color w:val="auto"/>
              </w:rPr>
            </w:pPr>
            <w:r>
              <w:rPr>
                <w:rFonts w:ascii="Arial" w:cs="Arial" w:eastAsia="Arial" w:hAnsi="Arial"/>
                <w:sz w:val="14"/>
                <w:szCs w:val="14"/>
                <w:color w:val="auto"/>
              </w:rPr>
              <w:t>(200)</w:t>
            </w:r>
          </w:p>
        </w:tc>
        <w:tc>
          <w:tcPr>
            <w:tcW w:w="2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1060" w:type="dxa"/>
            <w:vAlign w:val="bottom"/>
          </w:tcPr>
          <w:p>
            <w:pPr>
              <w:jc w:val="right"/>
              <w:spacing w:after="0"/>
              <w:rPr>
                <w:sz w:val="20"/>
                <w:szCs w:val="20"/>
                <w:color w:val="auto"/>
              </w:rPr>
            </w:pPr>
            <w:r>
              <w:rPr>
                <w:rFonts w:ascii="Arial" w:cs="Arial" w:eastAsia="Arial" w:hAnsi="Arial"/>
                <w:sz w:val="14"/>
                <w:szCs w:val="14"/>
                <w:color w:val="auto"/>
              </w:rPr>
              <w:t>(2,271)</w:t>
            </w:r>
          </w:p>
        </w:tc>
        <w:tc>
          <w:tcPr>
            <w:tcW w:w="360" w:type="dxa"/>
            <w:vAlign w:val="bottom"/>
            <w:gridSpan w:val="2"/>
          </w:tcPr>
          <w:p>
            <w:pPr>
              <w:jc w:val="right"/>
              <w:ind w:right="116"/>
              <w:spacing w:after="0"/>
              <w:rPr>
                <w:sz w:val="20"/>
                <w:szCs w:val="20"/>
                <w:color w:val="auto"/>
              </w:rPr>
            </w:pPr>
            <w:r>
              <w:rPr>
                <w:rFonts w:ascii="Arial" w:cs="Arial" w:eastAsia="Arial" w:hAnsi="Arial"/>
                <w:sz w:val="14"/>
                <w:szCs w:val="14"/>
                <w:color w:val="auto"/>
              </w:rPr>
              <w:t>$</w:t>
            </w:r>
          </w:p>
        </w:tc>
        <w:tc>
          <w:tcPr>
            <w:tcW w:w="980" w:type="dxa"/>
            <w:vAlign w:val="bottom"/>
          </w:tcPr>
          <w:p>
            <w:pPr>
              <w:jc w:val="right"/>
              <w:ind w:right="30"/>
              <w:spacing w:after="0"/>
              <w:rPr>
                <w:sz w:val="20"/>
                <w:szCs w:val="20"/>
                <w:color w:val="auto"/>
              </w:rPr>
            </w:pPr>
            <w:r>
              <w:rPr>
                <w:rFonts w:ascii="Arial" w:cs="Arial" w:eastAsia="Arial" w:hAnsi="Arial"/>
                <w:sz w:val="14"/>
                <w:szCs w:val="14"/>
                <w:color w:val="auto"/>
              </w:rPr>
              <w:t>897</w:t>
            </w:r>
          </w:p>
        </w:tc>
      </w:tr>
      <w:tr>
        <w:trPr>
          <w:trHeight w:val="20"/>
        </w:trPr>
        <w:tc>
          <w:tcPr>
            <w:tcW w:w="4480" w:type="dxa"/>
            <w:vAlign w:val="bottom"/>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0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r>
    </w:tbl>
    <w:p>
      <w:pPr>
        <w:spacing w:after="0" w:line="40"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w:t>
      </w:r>
    </w:p>
    <w:p>
      <w:pPr>
        <w:spacing w:after="0" w:line="12" w:lineRule="exact"/>
        <w:rPr>
          <w:sz w:val="20"/>
          <w:szCs w:val="20"/>
          <w:color w:val="auto"/>
        </w:rPr>
      </w:pPr>
    </w:p>
    <w:p>
      <w:pPr>
        <w:ind w:left="360" w:right="280" w:hanging="356"/>
        <w:spacing w:after="0" w:line="250" w:lineRule="auto"/>
        <w:tabs>
          <w:tab w:leader="none" w:pos="372" w:val="left"/>
        </w:tabs>
        <w:numPr>
          <w:ilvl w:val="0"/>
          <w:numId w:val="13"/>
        </w:numPr>
        <w:rPr>
          <w:rFonts w:ascii="Arial" w:cs="Arial" w:eastAsia="Arial" w:hAnsi="Arial"/>
          <w:sz w:val="14"/>
          <w:szCs w:val="14"/>
          <w:color w:val="auto"/>
        </w:rPr>
      </w:pPr>
      <w:r>
        <w:rPr>
          <w:rFonts w:ascii="Arial" w:cs="Arial" w:eastAsia="Arial" w:hAnsi="Arial"/>
          <w:sz w:val="14"/>
          <w:szCs w:val="14"/>
          <w:color w:val="auto"/>
        </w:rPr>
        <w:t>During the three months ended April 30, 2023, Autodesk repurchased 2,666 thousand shares at an average repurchase price of $199.36 per share. At April 30, 2023, 2 thousand shares and $5 billion remained available for repurchase under the September 2016 and November 2022 repurchase program approved by the Board of Directors, respectively.</w:t>
      </w:r>
    </w:p>
    <w:p>
      <w:pPr>
        <w:spacing w:after="0" w:line="203" w:lineRule="exact"/>
        <w:rPr>
          <w:sz w:val="20"/>
          <w:szCs w:val="20"/>
          <w:color w:val="auto"/>
        </w:rPr>
      </w:pPr>
    </w:p>
    <w:p>
      <w:pPr>
        <w:ind w:left="360"/>
        <w:spacing w:after="0"/>
        <w:rPr>
          <w:sz w:val="20"/>
          <w:szCs w:val="20"/>
          <w:color w:val="auto"/>
        </w:rPr>
      </w:pPr>
      <w:r>
        <w:rPr>
          <w:rFonts w:ascii="Arial" w:cs="Arial" w:eastAsia="Arial" w:hAnsi="Arial"/>
          <w:sz w:val="15"/>
          <w:szCs w:val="15"/>
          <w:color w:val="auto"/>
        </w:rPr>
        <w:t>Changes in stockholders' equity by component, net of tax, as of April 30, 2022, are as follows:</w: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4520" w:type="dxa"/>
            <w:vAlign w:val="bottom"/>
          </w:tcPr>
          <w:p>
            <w:pPr>
              <w:spacing w:after="0"/>
              <w:rPr>
                <w:sz w:val="13"/>
                <w:szCs w:val="13"/>
                <w:color w:val="auto"/>
              </w:rPr>
            </w:pPr>
          </w:p>
        </w:tc>
        <w:tc>
          <w:tcPr>
            <w:tcW w:w="2060" w:type="dxa"/>
            <w:vAlign w:val="bottom"/>
            <w:gridSpan w:val="4"/>
          </w:tcPr>
          <w:p>
            <w:pPr>
              <w:jc w:val="right"/>
              <w:ind w:right="51"/>
              <w:spacing w:after="0"/>
              <w:rPr>
                <w:sz w:val="20"/>
                <w:szCs w:val="20"/>
                <w:color w:val="auto"/>
              </w:rPr>
            </w:pPr>
            <w:r>
              <w:rPr>
                <w:rFonts w:ascii="Arial" w:cs="Arial" w:eastAsia="Arial" w:hAnsi="Arial"/>
                <w:sz w:val="13"/>
                <w:szCs w:val="13"/>
                <w:b w:val="1"/>
                <w:bCs w:val="1"/>
                <w:color w:val="auto"/>
              </w:rPr>
              <w:t>Common stock and additional</w:t>
            </w: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8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60" w:type="dxa"/>
            <w:vAlign w:val="bottom"/>
          </w:tcPr>
          <w:p>
            <w:pPr>
              <w:spacing w:after="0"/>
              <w:rPr>
                <w:sz w:val="13"/>
                <w:szCs w:val="13"/>
                <w:color w:val="auto"/>
              </w:rPr>
            </w:pPr>
          </w:p>
        </w:tc>
      </w:tr>
      <w:tr>
        <w:trPr>
          <w:trHeight w:val="176"/>
        </w:trPr>
        <w:tc>
          <w:tcPr>
            <w:tcW w:w="4520" w:type="dxa"/>
            <w:vAlign w:val="bottom"/>
          </w:tcPr>
          <w:p>
            <w:pPr>
              <w:spacing w:after="0"/>
              <w:rPr>
                <w:sz w:val="15"/>
                <w:szCs w:val="15"/>
                <w:color w:val="auto"/>
              </w:rPr>
            </w:pPr>
          </w:p>
        </w:tc>
        <w:tc>
          <w:tcPr>
            <w:tcW w:w="2060" w:type="dxa"/>
            <w:vAlign w:val="bottom"/>
            <w:tcBorders>
              <w:bottom w:val="single" w:sz="8" w:color="auto"/>
            </w:tcBorders>
            <w:gridSpan w:val="4"/>
          </w:tcPr>
          <w:p>
            <w:pPr>
              <w:jc w:val="right"/>
              <w:ind w:right="531"/>
              <w:spacing w:after="0"/>
              <w:rPr>
                <w:sz w:val="20"/>
                <w:szCs w:val="20"/>
                <w:color w:val="auto"/>
              </w:rPr>
            </w:pPr>
            <w:r>
              <w:rPr>
                <w:rFonts w:ascii="Arial" w:cs="Arial" w:eastAsia="Arial" w:hAnsi="Arial"/>
                <w:sz w:val="13"/>
                <w:szCs w:val="13"/>
                <w:b w:val="1"/>
                <w:bCs w:val="1"/>
                <w:color w:val="auto"/>
              </w:rPr>
              <w:t>paid-in capital</w:t>
            </w:r>
          </w:p>
        </w:tc>
        <w:tc>
          <w:tcPr>
            <w:tcW w:w="80" w:type="dxa"/>
            <w:vAlign w:val="bottom"/>
          </w:tcPr>
          <w:p>
            <w:pPr>
              <w:spacing w:after="0"/>
              <w:rPr>
                <w:sz w:val="15"/>
                <w:szCs w:val="15"/>
                <w:color w:val="auto"/>
              </w:rPr>
            </w:pPr>
          </w:p>
        </w:tc>
        <w:tc>
          <w:tcPr>
            <w:tcW w:w="1320" w:type="dxa"/>
            <w:vAlign w:val="bottom"/>
            <w:gridSpan w:val="2"/>
          </w:tcPr>
          <w:p>
            <w:pPr>
              <w:jc w:val="right"/>
              <w:ind w:right="10"/>
              <w:spacing w:after="0"/>
              <w:rPr>
                <w:sz w:val="20"/>
                <w:szCs w:val="20"/>
                <w:color w:val="auto"/>
              </w:rPr>
            </w:pPr>
            <w:r>
              <w:rPr>
                <w:rFonts w:ascii="Arial" w:cs="Arial" w:eastAsia="Arial" w:hAnsi="Arial"/>
                <w:sz w:val="13"/>
                <w:szCs w:val="13"/>
                <w:b w:val="1"/>
                <w:bCs w:val="1"/>
                <w:color w:val="auto"/>
              </w:rPr>
              <w:t>Accumulated other</w:t>
            </w: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980" w:type="dxa"/>
            <w:vAlign w:val="bottom"/>
          </w:tcPr>
          <w:p>
            <w:pPr>
              <w:jc w:val="right"/>
              <w:ind w:right="72"/>
              <w:spacing w:after="0"/>
              <w:rPr>
                <w:sz w:val="20"/>
                <w:szCs w:val="20"/>
                <w:color w:val="auto"/>
              </w:rPr>
            </w:pPr>
            <w:r>
              <w:rPr>
                <w:rFonts w:ascii="Arial" w:cs="Arial" w:eastAsia="Arial" w:hAnsi="Arial"/>
                <w:sz w:val="13"/>
                <w:szCs w:val="13"/>
                <w:b w:val="1"/>
                <w:bCs w:val="1"/>
                <w:color w:val="auto"/>
              </w:rPr>
              <w:t>Accumulated</w:t>
            </w:r>
          </w:p>
        </w:tc>
        <w:tc>
          <w:tcPr>
            <w:tcW w:w="80" w:type="dxa"/>
            <w:vAlign w:val="bottom"/>
          </w:tcPr>
          <w:p>
            <w:pPr>
              <w:spacing w:after="0"/>
              <w:rPr>
                <w:sz w:val="15"/>
                <w:szCs w:val="15"/>
                <w:color w:val="auto"/>
              </w:rPr>
            </w:pPr>
          </w:p>
        </w:tc>
        <w:tc>
          <w:tcPr>
            <w:tcW w:w="1340" w:type="dxa"/>
            <w:vAlign w:val="bottom"/>
            <w:gridSpan w:val="2"/>
          </w:tcPr>
          <w:p>
            <w:pPr>
              <w:jc w:val="right"/>
              <w:ind w:right="10"/>
              <w:spacing w:after="0"/>
              <w:rPr>
                <w:sz w:val="20"/>
                <w:szCs w:val="20"/>
                <w:color w:val="auto"/>
              </w:rPr>
            </w:pPr>
            <w:r>
              <w:rPr>
                <w:rFonts w:ascii="Arial" w:cs="Arial" w:eastAsia="Arial" w:hAnsi="Arial"/>
                <w:sz w:val="13"/>
                <w:szCs w:val="13"/>
                <w:b w:val="1"/>
                <w:bCs w:val="1"/>
                <w:color w:val="auto"/>
              </w:rPr>
              <w:t>Total stockholders'</w:t>
            </w:r>
          </w:p>
        </w:tc>
      </w:tr>
      <w:tr>
        <w:trPr>
          <w:trHeight w:val="167"/>
        </w:trPr>
        <w:tc>
          <w:tcPr>
            <w:tcW w:w="4520" w:type="dxa"/>
            <w:vAlign w:val="bottom"/>
            <w:tcBorders>
              <w:bottom w:val="single" w:sz="8" w:color="CCEEFF"/>
            </w:tcBorders>
          </w:tcPr>
          <w:p>
            <w:pPr>
              <w:spacing w:after="0"/>
              <w:rPr>
                <w:sz w:val="14"/>
                <w:szCs w:val="14"/>
                <w:color w:val="auto"/>
              </w:rPr>
            </w:pPr>
          </w:p>
        </w:tc>
        <w:tc>
          <w:tcPr>
            <w:tcW w:w="1020" w:type="dxa"/>
            <w:vAlign w:val="bottom"/>
            <w:tcBorders>
              <w:bottom w:val="single" w:sz="8" w:color="auto"/>
            </w:tcBorders>
          </w:tcPr>
          <w:p>
            <w:pPr>
              <w:jc w:val="right"/>
              <w:ind w:right="232"/>
              <w:spacing w:after="0"/>
              <w:rPr>
                <w:sz w:val="20"/>
                <w:szCs w:val="20"/>
                <w:color w:val="auto"/>
              </w:rPr>
            </w:pPr>
            <w:r>
              <w:rPr>
                <w:rFonts w:ascii="Arial" w:cs="Arial" w:eastAsia="Arial" w:hAnsi="Arial"/>
                <w:sz w:val="13"/>
                <w:szCs w:val="13"/>
                <w:b w:val="1"/>
                <w:bCs w:val="1"/>
                <w:color w:val="auto"/>
              </w:rPr>
              <w:t>Shares</w:t>
            </w:r>
          </w:p>
        </w:tc>
        <w:tc>
          <w:tcPr>
            <w:tcW w:w="80" w:type="dxa"/>
            <w:vAlign w:val="bottom"/>
            <w:tcBorders>
              <w:bottom w:val="single" w:sz="8" w:color="CCEEFF"/>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800" w:type="dxa"/>
            <w:vAlign w:val="bottom"/>
            <w:tcBorders>
              <w:bottom w:val="single" w:sz="8" w:color="auto"/>
            </w:tcBorders>
          </w:tcPr>
          <w:p>
            <w:pPr>
              <w:jc w:val="right"/>
              <w:ind w:right="171"/>
              <w:spacing w:after="0"/>
              <w:rPr>
                <w:sz w:val="20"/>
                <w:szCs w:val="20"/>
                <w:color w:val="auto"/>
              </w:rPr>
            </w:pPr>
            <w:r>
              <w:rPr>
                <w:rFonts w:ascii="Arial" w:cs="Arial" w:eastAsia="Arial" w:hAnsi="Arial"/>
                <w:sz w:val="13"/>
                <w:szCs w:val="13"/>
                <w:b w:val="1"/>
                <w:bCs w:val="1"/>
                <w:color w:val="auto"/>
              </w:rPr>
              <w:t>Amount</w:t>
            </w:r>
          </w:p>
        </w:tc>
        <w:tc>
          <w:tcPr>
            <w:tcW w:w="80" w:type="dxa"/>
            <w:vAlign w:val="bottom"/>
            <w:tcBorders>
              <w:bottom w:val="single" w:sz="8" w:color="CCEEFF"/>
            </w:tcBorders>
          </w:tcPr>
          <w:p>
            <w:pPr>
              <w:spacing w:after="0"/>
              <w:rPr>
                <w:sz w:val="14"/>
                <w:szCs w:val="14"/>
                <w:color w:val="auto"/>
              </w:rPr>
            </w:pPr>
          </w:p>
        </w:tc>
        <w:tc>
          <w:tcPr>
            <w:tcW w:w="1320" w:type="dxa"/>
            <w:vAlign w:val="bottom"/>
            <w:tcBorders>
              <w:bottom w:val="single" w:sz="8" w:color="auto"/>
            </w:tcBorders>
            <w:gridSpan w:val="2"/>
          </w:tcPr>
          <w:p>
            <w:pPr>
              <w:ind w:left="40"/>
              <w:spacing w:after="0"/>
              <w:rPr>
                <w:sz w:val="20"/>
                <w:szCs w:val="20"/>
                <w:color w:val="auto"/>
              </w:rPr>
            </w:pPr>
            <w:r>
              <w:rPr>
                <w:rFonts w:ascii="Arial" w:cs="Arial" w:eastAsia="Arial" w:hAnsi="Arial"/>
                <w:sz w:val="13"/>
                <w:szCs w:val="13"/>
                <w:b w:val="1"/>
                <w:bCs w:val="1"/>
                <w:color w:val="auto"/>
              </w:rPr>
              <w:t>comprehensive loss</w:t>
            </w:r>
          </w:p>
        </w:tc>
        <w:tc>
          <w:tcPr>
            <w:tcW w:w="80" w:type="dxa"/>
            <w:vAlign w:val="bottom"/>
            <w:tcBorders>
              <w:bottom w:val="single" w:sz="8" w:color="CCEEFF"/>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jc w:val="right"/>
              <w:ind w:right="292"/>
              <w:spacing w:after="0"/>
              <w:rPr>
                <w:sz w:val="20"/>
                <w:szCs w:val="20"/>
                <w:color w:val="auto"/>
              </w:rPr>
            </w:pPr>
            <w:r>
              <w:rPr>
                <w:rFonts w:ascii="Arial" w:cs="Arial" w:eastAsia="Arial" w:hAnsi="Arial"/>
                <w:sz w:val="13"/>
                <w:szCs w:val="13"/>
                <w:b w:val="1"/>
                <w:bCs w:val="1"/>
                <w:color w:val="auto"/>
              </w:rPr>
              <w:t>deficit</w:t>
            </w:r>
          </w:p>
        </w:tc>
        <w:tc>
          <w:tcPr>
            <w:tcW w:w="8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1060" w:type="dxa"/>
            <w:vAlign w:val="bottom"/>
            <w:tcBorders>
              <w:bottom w:val="single" w:sz="8" w:color="auto"/>
            </w:tcBorders>
          </w:tcPr>
          <w:p>
            <w:pPr>
              <w:jc w:val="right"/>
              <w:ind w:right="410"/>
              <w:spacing w:after="0"/>
              <w:rPr>
                <w:sz w:val="20"/>
                <w:szCs w:val="20"/>
                <w:color w:val="auto"/>
              </w:rPr>
            </w:pPr>
            <w:r>
              <w:rPr>
                <w:rFonts w:ascii="Arial" w:cs="Arial" w:eastAsia="Arial" w:hAnsi="Arial"/>
                <w:sz w:val="13"/>
                <w:szCs w:val="13"/>
                <w:b w:val="1"/>
                <w:bCs w:val="1"/>
                <w:color w:val="auto"/>
              </w:rPr>
              <w:t>equity</w:t>
            </w:r>
          </w:p>
        </w:tc>
      </w:tr>
      <w:tr>
        <w:trPr>
          <w:trHeight w:val="179"/>
        </w:trPr>
        <w:tc>
          <w:tcPr>
            <w:tcW w:w="4520" w:type="dxa"/>
            <w:vAlign w:val="bottom"/>
            <w:shd w:val="clear" w:color="auto" w:fill="CCEEFF"/>
          </w:tcPr>
          <w:p>
            <w:pPr>
              <w:ind w:left="20"/>
              <w:spacing w:after="0"/>
              <w:rPr>
                <w:sz w:val="20"/>
                <w:szCs w:val="20"/>
                <w:color w:val="auto"/>
              </w:rPr>
            </w:pPr>
            <w:r>
              <w:rPr>
                <w:rFonts w:ascii="Arial" w:cs="Arial" w:eastAsia="Arial" w:hAnsi="Arial"/>
                <w:sz w:val="14"/>
                <w:szCs w:val="14"/>
                <w:color w:val="auto"/>
              </w:rPr>
              <w:t>Balances, January 31, 2022</w:t>
            </w:r>
          </w:p>
        </w:tc>
        <w:tc>
          <w:tcPr>
            <w:tcW w:w="102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218</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80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2,923</w:t>
            </w:r>
          </w:p>
        </w:tc>
        <w:tc>
          <w:tcPr>
            <w:tcW w:w="600" w:type="dxa"/>
            <w:vAlign w:val="bottom"/>
            <w:gridSpan w:val="2"/>
            <w:shd w:val="clear" w:color="auto" w:fill="CCEEFF"/>
          </w:tcPr>
          <w:p>
            <w:pPr>
              <w:ind w:left="100"/>
              <w:spacing w:after="0"/>
              <w:rPr>
                <w:sz w:val="20"/>
                <w:szCs w:val="20"/>
                <w:color w:val="auto"/>
              </w:rPr>
            </w:pPr>
            <w:r>
              <w:rPr>
                <w:rFonts w:ascii="Arial" w:cs="Arial" w:eastAsia="Arial" w:hAnsi="Arial"/>
                <w:sz w:val="14"/>
                <w:szCs w:val="14"/>
                <w:color w:val="auto"/>
              </w:rPr>
              <w:t>$</w:t>
            </w:r>
          </w:p>
        </w:tc>
        <w:tc>
          <w:tcPr>
            <w:tcW w:w="8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(124)</w:t>
            </w:r>
          </w:p>
        </w:tc>
        <w:tc>
          <w:tcPr>
            <w:tcW w:w="20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(1,950)</w:t>
            </w:r>
          </w:p>
        </w:tc>
        <w:tc>
          <w:tcPr>
            <w:tcW w:w="360" w:type="dxa"/>
            <w:vAlign w:val="bottom"/>
            <w:gridSpan w:val="2"/>
            <w:shd w:val="clear" w:color="auto" w:fill="CCEEFF"/>
          </w:tcPr>
          <w:p>
            <w:pPr>
              <w:jc w:val="right"/>
              <w:ind w:right="116"/>
              <w:spacing w:after="0"/>
              <w:rPr>
                <w:sz w:val="20"/>
                <w:szCs w:val="20"/>
                <w:color w:val="auto"/>
              </w:rPr>
            </w:pPr>
            <w:r>
              <w:rPr>
                <w:rFonts w:ascii="Arial" w:cs="Arial" w:eastAsia="Arial" w:hAnsi="Arial"/>
                <w:sz w:val="14"/>
                <w:szCs w:val="14"/>
                <w:color w:val="auto"/>
              </w:rPr>
              <w:t>$</w:t>
            </w:r>
          </w:p>
        </w:tc>
        <w:tc>
          <w:tcPr>
            <w:tcW w:w="106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849</w:t>
            </w:r>
          </w:p>
        </w:tc>
      </w:tr>
      <w:tr>
        <w:trPr>
          <w:trHeight w:val="185"/>
        </w:trPr>
        <w:tc>
          <w:tcPr>
            <w:tcW w:w="4520" w:type="dxa"/>
            <w:vAlign w:val="bottom"/>
          </w:tcPr>
          <w:p>
            <w:pPr>
              <w:ind w:left="20"/>
              <w:spacing w:after="0"/>
              <w:rPr>
                <w:sz w:val="20"/>
                <w:szCs w:val="20"/>
                <w:color w:val="auto"/>
              </w:rPr>
            </w:pPr>
            <w:r>
              <w:rPr>
                <w:rFonts w:ascii="Arial" w:cs="Arial" w:eastAsia="Arial" w:hAnsi="Arial"/>
                <w:sz w:val="14"/>
                <w:szCs w:val="14"/>
                <w:color w:val="auto"/>
              </w:rPr>
              <w:t>Common shares issued under stock plans</w:t>
            </w: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1</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800" w:type="dxa"/>
            <w:vAlign w:val="bottom"/>
          </w:tcPr>
          <w:p>
            <w:pPr>
              <w:jc w:val="right"/>
              <w:spacing w:after="0"/>
              <w:rPr>
                <w:sz w:val="20"/>
                <w:szCs w:val="20"/>
                <w:color w:val="auto"/>
              </w:rPr>
            </w:pPr>
            <w:r>
              <w:rPr>
                <w:rFonts w:ascii="Arial" w:cs="Arial" w:eastAsia="Arial" w:hAnsi="Arial"/>
                <w:sz w:val="14"/>
                <w:szCs w:val="14"/>
                <w:color w:val="auto"/>
              </w:rPr>
              <w:t>(10)</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060" w:type="dxa"/>
            <w:vAlign w:val="bottom"/>
          </w:tcPr>
          <w:p>
            <w:pPr>
              <w:jc w:val="right"/>
              <w:spacing w:after="0"/>
              <w:rPr>
                <w:sz w:val="20"/>
                <w:szCs w:val="20"/>
                <w:color w:val="auto"/>
              </w:rPr>
            </w:pPr>
            <w:r>
              <w:rPr>
                <w:rFonts w:ascii="Arial" w:cs="Arial" w:eastAsia="Arial" w:hAnsi="Arial"/>
                <w:sz w:val="14"/>
                <w:szCs w:val="14"/>
                <w:color w:val="auto"/>
              </w:rPr>
              <w:t>(10)</w:t>
            </w:r>
          </w:p>
        </w:tc>
      </w:tr>
      <w:tr>
        <w:trPr>
          <w:trHeight w:val="190"/>
        </w:trPr>
        <w:tc>
          <w:tcPr>
            <w:tcW w:w="4520" w:type="dxa"/>
            <w:vAlign w:val="bottom"/>
            <w:shd w:val="clear" w:color="auto" w:fill="CCEEFF"/>
          </w:tcPr>
          <w:p>
            <w:pPr>
              <w:ind w:left="20"/>
              <w:spacing w:after="0"/>
              <w:rPr>
                <w:sz w:val="20"/>
                <w:szCs w:val="20"/>
                <w:color w:val="auto"/>
              </w:rPr>
            </w:pPr>
            <w:r>
              <w:rPr>
                <w:rFonts w:ascii="Arial" w:cs="Arial" w:eastAsia="Arial" w:hAnsi="Arial"/>
                <w:sz w:val="14"/>
                <w:szCs w:val="14"/>
                <w:color w:val="auto"/>
              </w:rPr>
              <w:t>Stock-based compensation expense</w:t>
            </w:r>
          </w:p>
        </w:tc>
        <w:tc>
          <w:tcPr>
            <w:tcW w:w="10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80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146</w:t>
            </w: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80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9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106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146</w:t>
            </w:r>
          </w:p>
        </w:tc>
      </w:tr>
      <w:tr>
        <w:trPr>
          <w:trHeight w:val="185"/>
        </w:trPr>
        <w:tc>
          <w:tcPr>
            <w:tcW w:w="4520" w:type="dxa"/>
            <w:vAlign w:val="bottom"/>
          </w:tcPr>
          <w:p>
            <w:pPr>
              <w:ind w:left="20"/>
              <w:spacing w:after="0"/>
              <w:rPr>
                <w:sz w:val="20"/>
                <w:szCs w:val="20"/>
                <w:color w:val="auto"/>
              </w:rPr>
            </w:pPr>
            <w:r>
              <w:rPr>
                <w:rFonts w:ascii="Arial" w:cs="Arial" w:eastAsia="Arial" w:hAnsi="Arial"/>
                <w:sz w:val="14"/>
                <w:szCs w:val="14"/>
                <w:color w:val="auto"/>
              </w:rPr>
              <w:t>Shares issued related to business combination</w:t>
            </w:r>
          </w:p>
        </w:tc>
        <w:tc>
          <w:tcPr>
            <w:tcW w:w="10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800" w:type="dxa"/>
            <w:vAlign w:val="bottom"/>
          </w:tcPr>
          <w:p>
            <w:pPr>
              <w:jc w:val="right"/>
              <w:ind w:right="11"/>
              <w:spacing w:after="0"/>
              <w:rPr>
                <w:sz w:val="20"/>
                <w:szCs w:val="20"/>
                <w:color w:val="auto"/>
              </w:rPr>
            </w:pPr>
            <w:r>
              <w:rPr>
                <w:rFonts w:ascii="Arial" w:cs="Arial" w:eastAsia="Arial" w:hAnsi="Arial"/>
                <w:sz w:val="14"/>
                <w:szCs w:val="14"/>
                <w:color w:val="auto"/>
              </w:rPr>
              <w:t>10</w:t>
            </w: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060" w:type="dxa"/>
            <w:vAlign w:val="bottom"/>
          </w:tcPr>
          <w:p>
            <w:pPr>
              <w:jc w:val="right"/>
              <w:ind w:right="50"/>
              <w:spacing w:after="0"/>
              <w:rPr>
                <w:sz w:val="20"/>
                <w:szCs w:val="20"/>
                <w:color w:val="auto"/>
              </w:rPr>
            </w:pPr>
            <w:r>
              <w:rPr>
                <w:rFonts w:ascii="Arial" w:cs="Arial" w:eastAsia="Arial" w:hAnsi="Arial"/>
                <w:sz w:val="14"/>
                <w:szCs w:val="14"/>
                <w:color w:val="auto"/>
              </w:rPr>
              <w:t>10</w:t>
            </w:r>
          </w:p>
        </w:tc>
      </w:tr>
      <w:tr>
        <w:trPr>
          <w:trHeight w:val="190"/>
        </w:trPr>
        <w:tc>
          <w:tcPr>
            <w:tcW w:w="452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income</w:t>
            </w:r>
          </w:p>
        </w:tc>
        <w:tc>
          <w:tcPr>
            <w:tcW w:w="10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80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80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98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146</w:t>
            </w:r>
          </w:p>
        </w:tc>
        <w:tc>
          <w:tcPr>
            <w:tcW w:w="8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106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rPr>
              <w:t>146</w:t>
            </w:r>
          </w:p>
        </w:tc>
      </w:tr>
      <w:tr>
        <w:trPr>
          <w:trHeight w:val="185"/>
        </w:trPr>
        <w:tc>
          <w:tcPr>
            <w:tcW w:w="4520" w:type="dxa"/>
            <w:vAlign w:val="bottom"/>
          </w:tcPr>
          <w:p>
            <w:pPr>
              <w:ind w:left="20"/>
              <w:spacing w:after="0"/>
              <w:rPr>
                <w:sz w:val="20"/>
                <w:szCs w:val="20"/>
                <w:color w:val="auto"/>
              </w:rPr>
            </w:pPr>
            <w:r>
              <w:rPr>
                <w:rFonts w:ascii="Arial" w:cs="Arial" w:eastAsia="Arial" w:hAnsi="Arial"/>
                <w:sz w:val="14"/>
                <w:szCs w:val="14"/>
                <w:color w:val="auto"/>
              </w:rPr>
              <w:t>Other comprehensive loss</w:t>
            </w:r>
          </w:p>
        </w:tc>
        <w:tc>
          <w:tcPr>
            <w:tcW w:w="10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800" w:type="dxa"/>
            <w:vAlign w:val="bottom"/>
          </w:tcPr>
          <w:p>
            <w:pPr>
              <w:jc w:val="right"/>
              <w:spacing w:after="0"/>
              <w:rPr>
                <w:sz w:val="20"/>
                <w:szCs w:val="20"/>
                <w:color w:val="auto"/>
              </w:rPr>
            </w:pPr>
            <w:r>
              <w:rPr>
                <w:rFonts w:ascii="Arial" w:cs="Arial" w:eastAsia="Arial" w:hAnsi="Arial"/>
                <w:sz w:val="14"/>
                <w:szCs w:val="14"/>
                <w:color w:val="auto"/>
              </w:rPr>
              <w:t>(24)</w:t>
            </w: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060" w:type="dxa"/>
            <w:vAlign w:val="bottom"/>
          </w:tcPr>
          <w:p>
            <w:pPr>
              <w:jc w:val="right"/>
              <w:spacing w:after="0"/>
              <w:rPr>
                <w:sz w:val="20"/>
                <w:szCs w:val="20"/>
                <w:color w:val="auto"/>
              </w:rPr>
            </w:pPr>
            <w:r>
              <w:rPr>
                <w:rFonts w:ascii="Arial" w:cs="Arial" w:eastAsia="Arial" w:hAnsi="Arial"/>
                <w:sz w:val="14"/>
                <w:szCs w:val="14"/>
                <w:color w:val="auto"/>
              </w:rPr>
              <w:t>(24)</w:t>
            </w:r>
          </w:p>
        </w:tc>
      </w:tr>
      <w:tr>
        <w:trPr>
          <w:trHeight w:val="190"/>
        </w:trPr>
        <w:tc>
          <w:tcPr>
            <w:tcW w:w="4520" w:type="dxa"/>
            <w:vAlign w:val="bottom"/>
            <w:shd w:val="clear" w:color="auto" w:fill="CCEEFF"/>
          </w:tcPr>
          <w:p>
            <w:pPr>
              <w:ind w:left="20"/>
              <w:spacing w:after="0"/>
              <w:rPr>
                <w:sz w:val="20"/>
                <w:szCs w:val="20"/>
                <w:color w:val="auto"/>
              </w:rPr>
            </w:pPr>
            <w:r>
              <w:rPr>
                <w:rFonts w:ascii="Arial" w:cs="Arial" w:eastAsia="Arial" w:hAnsi="Arial"/>
                <w:sz w:val="14"/>
                <w:szCs w:val="14"/>
                <w:color w:val="auto"/>
              </w:rPr>
              <w:t>Repurchase and retirement of common shares (1)</w:t>
            </w: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80" w:type="dxa"/>
            <w:vAlign w:val="bottom"/>
            <w:shd w:val="clear" w:color="auto" w:fill="CCEEFF"/>
          </w:tcPr>
          <w:p>
            <w:pPr>
              <w:spacing w:after="0"/>
              <w:rPr>
                <w:sz w:val="16"/>
                <w:szCs w:val="16"/>
                <w:color w:val="auto"/>
              </w:rPr>
            </w:pPr>
          </w:p>
        </w:tc>
        <w:tc>
          <w:tcPr>
            <w:tcW w:w="160" w:type="dxa"/>
            <w:vAlign w:val="bottom"/>
            <w:tcBorders>
              <w:bottom w:val="single" w:sz="8" w:color="auto"/>
            </w:tcBorders>
            <w:shd w:val="clear" w:color="auto" w:fill="CCEEFF"/>
          </w:tcPr>
          <w:p>
            <w:pPr>
              <w:spacing w:after="0"/>
              <w:rPr>
                <w:sz w:val="16"/>
                <w:szCs w:val="16"/>
                <w:color w:val="auto"/>
              </w:rPr>
            </w:pPr>
          </w:p>
        </w:tc>
        <w:tc>
          <w:tcPr>
            <w:tcW w:w="8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(97)</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800" w:type="dxa"/>
            <w:vAlign w:val="bottom"/>
            <w:tcBorders>
              <w:bottom w:val="single" w:sz="8" w:color="auto"/>
            </w:tcBorders>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tcBorders>
              <w:bottom w:val="single" w:sz="8" w:color="auto"/>
            </w:tcBorders>
            <w:shd w:val="clear" w:color="auto" w:fill="CCEEFF"/>
          </w:tcPr>
          <w:p>
            <w:pPr>
              <w:spacing w:after="0"/>
              <w:rPr>
                <w:sz w:val="16"/>
                <w:szCs w:val="16"/>
                <w:color w:val="auto"/>
              </w:rPr>
            </w:pPr>
          </w:p>
        </w:tc>
        <w:tc>
          <w:tcPr>
            <w:tcW w:w="9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(339)</w:t>
            </w:r>
          </w:p>
        </w:tc>
        <w:tc>
          <w:tcPr>
            <w:tcW w:w="8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10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(436)</w:t>
            </w:r>
          </w:p>
        </w:tc>
      </w:tr>
      <w:tr>
        <w:trPr>
          <w:trHeight w:val="177"/>
        </w:trPr>
        <w:tc>
          <w:tcPr>
            <w:tcW w:w="4520" w:type="dxa"/>
            <w:vAlign w:val="bottom"/>
          </w:tcPr>
          <w:p>
            <w:pPr>
              <w:ind w:left="20"/>
              <w:spacing w:after="0"/>
              <w:rPr>
                <w:sz w:val="20"/>
                <w:szCs w:val="20"/>
                <w:color w:val="auto"/>
              </w:rPr>
            </w:pPr>
            <w:r>
              <w:rPr>
                <w:rFonts w:ascii="Arial" w:cs="Arial" w:eastAsia="Arial" w:hAnsi="Arial"/>
                <w:sz w:val="14"/>
                <w:szCs w:val="14"/>
                <w:color w:val="auto"/>
              </w:rPr>
              <w:t>Balances, April 30, 2022</w:t>
            </w: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217</w:t>
            </w:r>
          </w:p>
        </w:tc>
        <w:tc>
          <w:tcPr>
            <w:tcW w:w="24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800" w:type="dxa"/>
            <w:vAlign w:val="bottom"/>
          </w:tcPr>
          <w:p>
            <w:pPr>
              <w:jc w:val="right"/>
              <w:ind w:right="11"/>
              <w:spacing w:after="0"/>
              <w:rPr>
                <w:sz w:val="20"/>
                <w:szCs w:val="20"/>
                <w:color w:val="auto"/>
              </w:rPr>
            </w:pPr>
            <w:r>
              <w:rPr>
                <w:rFonts w:ascii="Arial" w:cs="Arial" w:eastAsia="Arial" w:hAnsi="Arial"/>
                <w:sz w:val="14"/>
                <w:szCs w:val="14"/>
                <w:color w:val="auto"/>
              </w:rPr>
              <w:t>2,972</w:t>
            </w:r>
          </w:p>
        </w:tc>
        <w:tc>
          <w:tcPr>
            <w:tcW w:w="600" w:type="dxa"/>
            <w:vAlign w:val="bottom"/>
            <w:gridSpan w:val="2"/>
          </w:tcPr>
          <w:p>
            <w:pPr>
              <w:ind w:left="100"/>
              <w:spacing w:after="0"/>
              <w:rPr>
                <w:sz w:val="20"/>
                <w:szCs w:val="20"/>
                <w:color w:val="auto"/>
              </w:rPr>
            </w:pPr>
            <w:r>
              <w:rPr>
                <w:rFonts w:ascii="Arial" w:cs="Arial" w:eastAsia="Arial" w:hAnsi="Arial"/>
                <w:sz w:val="14"/>
                <w:szCs w:val="14"/>
                <w:color w:val="auto"/>
              </w:rPr>
              <w:t>$</w:t>
            </w:r>
          </w:p>
        </w:tc>
        <w:tc>
          <w:tcPr>
            <w:tcW w:w="800" w:type="dxa"/>
            <w:vAlign w:val="bottom"/>
          </w:tcPr>
          <w:p>
            <w:pPr>
              <w:jc w:val="right"/>
              <w:spacing w:after="0"/>
              <w:rPr>
                <w:sz w:val="20"/>
                <w:szCs w:val="20"/>
                <w:color w:val="auto"/>
              </w:rPr>
            </w:pPr>
            <w:r>
              <w:rPr>
                <w:rFonts w:ascii="Arial" w:cs="Arial" w:eastAsia="Arial" w:hAnsi="Arial"/>
                <w:sz w:val="14"/>
                <w:szCs w:val="14"/>
                <w:color w:val="auto"/>
              </w:rPr>
              <w:t>(148)</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980" w:type="dxa"/>
            <w:vAlign w:val="bottom"/>
          </w:tcPr>
          <w:p>
            <w:pPr>
              <w:jc w:val="right"/>
              <w:spacing w:after="0"/>
              <w:rPr>
                <w:sz w:val="20"/>
                <w:szCs w:val="20"/>
                <w:color w:val="auto"/>
              </w:rPr>
            </w:pPr>
            <w:r>
              <w:rPr>
                <w:rFonts w:ascii="Arial" w:cs="Arial" w:eastAsia="Arial" w:hAnsi="Arial"/>
                <w:sz w:val="14"/>
                <w:szCs w:val="14"/>
                <w:color w:val="auto"/>
              </w:rPr>
              <w:t>(2,143)</w:t>
            </w:r>
          </w:p>
        </w:tc>
        <w:tc>
          <w:tcPr>
            <w:tcW w:w="360" w:type="dxa"/>
            <w:vAlign w:val="bottom"/>
            <w:gridSpan w:val="2"/>
          </w:tcPr>
          <w:p>
            <w:pPr>
              <w:jc w:val="right"/>
              <w:ind w:right="116"/>
              <w:spacing w:after="0"/>
              <w:rPr>
                <w:sz w:val="20"/>
                <w:szCs w:val="20"/>
                <w:color w:val="auto"/>
              </w:rPr>
            </w:pPr>
            <w:r>
              <w:rPr>
                <w:rFonts w:ascii="Arial" w:cs="Arial" w:eastAsia="Arial" w:hAnsi="Arial"/>
                <w:sz w:val="14"/>
                <w:szCs w:val="14"/>
                <w:color w:val="auto"/>
              </w:rPr>
              <w:t>$</w:t>
            </w:r>
          </w:p>
        </w:tc>
        <w:tc>
          <w:tcPr>
            <w:tcW w:w="1060" w:type="dxa"/>
            <w:vAlign w:val="bottom"/>
          </w:tcPr>
          <w:p>
            <w:pPr>
              <w:jc w:val="right"/>
              <w:ind w:right="30"/>
              <w:spacing w:after="0"/>
              <w:rPr>
                <w:sz w:val="20"/>
                <w:szCs w:val="20"/>
                <w:color w:val="auto"/>
              </w:rPr>
            </w:pPr>
            <w:r>
              <w:rPr>
                <w:rFonts w:ascii="Arial" w:cs="Arial" w:eastAsia="Arial" w:hAnsi="Arial"/>
                <w:sz w:val="14"/>
                <w:szCs w:val="14"/>
                <w:color w:val="auto"/>
              </w:rPr>
              <w:t>681</w:t>
            </w:r>
          </w:p>
        </w:tc>
      </w:tr>
      <w:tr>
        <w:trPr>
          <w:trHeight w:val="20"/>
        </w:trPr>
        <w:tc>
          <w:tcPr>
            <w:tcW w:w="4520" w:type="dxa"/>
            <w:vAlign w:val="bottom"/>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1060" w:type="dxa"/>
            <w:vAlign w:val="bottom"/>
            <w:tcBorders>
              <w:top w:val="single" w:sz="8" w:color="auto"/>
              <w:bottom w:val="single" w:sz="8" w:color="auto"/>
            </w:tcBorders>
          </w:tcPr>
          <w:p>
            <w:pPr>
              <w:spacing w:after="0" w:line="20" w:lineRule="exact"/>
              <w:rPr>
                <w:sz w:val="1"/>
                <w:szCs w:val="1"/>
                <w:color w:val="auto"/>
              </w:rPr>
            </w:pPr>
          </w:p>
        </w:tc>
      </w:tr>
    </w:tbl>
    <w:p>
      <w:pPr>
        <w:spacing w:after="0" w:line="40"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w:t>
      </w:r>
    </w:p>
    <w:p>
      <w:pPr>
        <w:spacing w:after="0" w:line="12" w:lineRule="exact"/>
        <w:rPr>
          <w:sz w:val="20"/>
          <w:szCs w:val="20"/>
          <w:color w:val="auto"/>
        </w:rPr>
      </w:pPr>
    </w:p>
    <w:p>
      <w:pPr>
        <w:ind w:left="360" w:right="60" w:hanging="356"/>
        <w:spacing w:after="0" w:line="256" w:lineRule="auto"/>
        <w:tabs>
          <w:tab w:leader="none" w:pos="372" w:val="left"/>
        </w:tabs>
        <w:numPr>
          <w:ilvl w:val="0"/>
          <w:numId w:val="14"/>
        </w:numPr>
        <w:rPr>
          <w:rFonts w:ascii="Arial" w:cs="Arial" w:eastAsia="Arial" w:hAnsi="Arial"/>
          <w:sz w:val="14"/>
          <w:szCs w:val="14"/>
          <w:color w:val="auto"/>
        </w:rPr>
      </w:pPr>
      <w:r>
        <w:rPr>
          <w:rFonts w:ascii="Arial" w:cs="Arial" w:eastAsia="Arial" w:hAnsi="Arial"/>
          <w:sz w:val="14"/>
          <w:szCs w:val="14"/>
          <w:color w:val="auto"/>
        </w:rPr>
        <w:t>During the three months ended April 30, 2022, Autodesk repurchased 2,058 thousand shares at an average repurchase price of $211.71 per share, respectively. At April 30, 2022, 6 million shares remained available for repurchase under the September 2016 repurchase program approved by the Board of Directors.</w:t>
      </w: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27" w:name="page28"/>
    <w:bookmarkEnd w:id="27"/>
    <w:p>
      <w:pPr>
        <w:spacing w:after="0"/>
        <w:rPr>
          <w:sz w:val="20"/>
          <w:szCs w:val="20"/>
          <w:color w:val="auto"/>
        </w:rPr>
      </w:pPr>
      <w:r>
        <w:rPr>
          <w:rFonts w:ascii="Arial" w:cs="Arial" w:eastAsia="Arial" w:hAnsi="Arial"/>
          <w:sz w:val="15"/>
          <w:szCs w:val="15"/>
          <w:b w:val="1"/>
          <w:bCs w:val="1"/>
          <w:i w:val="1"/>
          <w:iCs w:val="1"/>
          <w:color w:val="auto"/>
        </w:rPr>
        <w:t>18. Accumulated Other Comprehensive Loss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Accumulated other comprehensive loss, net of taxes, consisted of the following at April 30, 2023:</w:t>
      </w:r>
    </w:p>
    <w:p>
      <w:pPr>
        <w:spacing w:after="0" w:line="84" w:lineRule="exact"/>
        <w:rPr>
          <w:sz w:val="20"/>
          <w:szCs w:val="20"/>
          <w:color w:val="auto"/>
        </w:rPr>
      </w:pPr>
    </w:p>
    <w:tbl>
      <w:tblPr>
        <w:tblLayout w:type="fixed"/>
        <w:tblInd w:w="20" w:type="dxa"/>
        <w:tblCellMar>
          <w:top w:w="0" w:type="dxa"/>
          <w:left w:w="0" w:type="dxa"/>
          <w:bottom w:w="0" w:type="dxa"/>
          <w:right w:w="0" w:type="dxa"/>
        </w:tblCellMar>
      </w:tblPr>
      <w:tr>
        <w:trPr>
          <w:trHeight w:val="149"/>
        </w:trPr>
        <w:tc>
          <w:tcPr>
            <w:tcW w:w="48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40" w:type="dxa"/>
            <w:vAlign w:val="bottom"/>
            <w:vMerge w:val="restart"/>
          </w:tcPr>
          <w:p>
            <w:pPr>
              <w:jc w:val="center"/>
              <w:ind w:right="32"/>
              <w:spacing w:after="0"/>
              <w:rPr>
                <w:sz w:val="20"/>
                <w:szCs w:val="20"/>
                <w:color w:val="auto"/>
              </w:rPr>
            </w:pPr>
            <w:r>
              <w:rPr>
                <w:rFonts w:ascii="Arial" w:cs="Arial" w:eastAsia="Arial" w:hAnsi="Arial"/>
                <w:sz w:val="13"/>
                <w:szCs w:val="13"/>
                <w:b w:val="1"/>
                <w:bCs w:val="1"/>
                <w:color w:val="auto"/>
                <w:w w:val="99"/>
              </w:rPr>
              <w:t>Net Unrealized</w:t>
            </w: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000" w:type="dxa"/>
            <w:vAlign w:val="bottom"/>
          </w:tcPr>
          <w:p>
            <w:pPr>
              <w:jc w:val="center"/>
              <w:ind w:right="32"/>
              <w:spacing w:after="0"/>
              <w:rPr>
                <w:sz w:val="20"/>
                <w:szCs w:val="20"/>
                <w:color w:val="auto"/>
              </w:rPr>
            </w:pPr>
            <w:r>
              <w:rPr>
                <w:rFonts w:ascii="Arial" w:cs="Arial" w:eastAsia="Arial" w:hAnsi="Arial"/>
                <w:sz w:val="13"/>
                <w:szCs w:val="13"/>
                <w:b w:val="1"/>
                <w:bCs w:val="1"/>
                <w:color w:val="auto"/>
                <w:w w:val="99"/>
              </w:rPr>
              <w:t>Net Unrealized</w:t>
            </w: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vMerge w:val="restart"/>
          </w:tcPr>
          <w:p>
            <w:pPr>
              <w:jc w:val="center"/>
              <w:ind w:right="52"/>
              <w:spacing w:after="0"/>
              <w:rPr>
                <w:sz w:val="20"/>
                <w:szCs w:val="20"/>
                <w:color w:val="auto"/>
              </w:rPr>
            </w:pPr>
            <w:r>
              <w:rPr>
                <w:rFonts w:ascii="Arial" w:cs="Arial" w:eastAsia="Arial" w:hAnsi="Arial"/>
                <w:sz w:val="13"/>
                <w:szCs w:val="13"/>
                <w:b w:val="1"/>
                <w:bCs w:val="1"/>
                <w:color w:val="auto"/>
              </w:rPr>
              <w:t>Foreign</w:t>
            </w:r>
          </w:p>
        </w:tc>
        <w:tc>
          <w:tcPr>
            <w:tcW w:w="1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4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1100" w:type="dxa"/>
            <w:vAlign w:val="bottom"/>
            <w:gridSpan w:val="2"/>
          </w:tcPr>
          <w:p>
            <w:pPr>
              <w:jc w:val="center"/>
              <w:spacing w:after="0" w:line="129" w:lineRule="exact"/>
              <w:rPr>
                <w:sz w:val="20"/>
                <w:szCs w:val="20"/>
                <w:color w:val="auto"/>
              </w:rPr>
            </w:pPr>
            <w:r>
              <w:rPr>
                <w:rFonts w:ascii="Arial" w:cs="Arial" w:eastAsia="Arial" w:hAnsi="Arial"/>
                <w:sz w:val="13"/>
                <w:szCs w:val="13"/>
                <w:b w:val="1"/>
                <w:bCs w:val="1"/>
                <w:color w:val="auto"/>
                <w:w w:val="98"/>
              </w:rPr>
              <w:t>Gains (Losses)</w:t>
            </w:r>
          </w:p>
        </w:tc>
        <w:tc>
          <w:tcPr>
            <w:tcW w:w="100" w:type="dxa"/>
            <w:vAlign w:val="bottom"/>
          </w:tcPr>
          <w:p>
            <w:pPr>
              <w:spacing w:after="0"/>
              <w:rPr>
                <w:sz w:val="11"/>
                <w:szCs w:val="11"/>
                <w:color w:val="auto"/>
              </w:rPr>
            </w:pPr>
          </w:p>
        </w:tc>
        <w:tc>
          <w:tcPr>
            <w:tcW w:w="1100" w:type="dxa"/>
            <w:vAlign w:val="bottom"/>
            <w:gridSpan w:val="2"/>
            <w:vMerge w:val="restart"/>
          </w:tcPr>
          <w:p>
            <w:pPr>
              <w:jc w:val="center"/>
              <w:spacing w:after="0"/>
              <w:rPr>
                <w:sz w:val="20"/>
                <w:szCs w:val="20"/>
                <w:color w:val="auto"/>
              </w:rPr>
            </w:pPr>
            <w:r>
              <w:rPr>
                <w:rFonts w:ascii="Arial" w:cs="Arial" w:eastAsia="Arial" w:hAnsi="Arial"/>
                <w:sz w:val="13"/>
                <w:szCs w:val="13"/>
                <w:b w:val="1"/>
                <w:bCs w:val="1"/>
                <w:color w:val="auto"/>
                <w:w w:val="98"/>
              </w:rPr>
              <w:t>Defined Benefit</w:t>
            </w: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vMerge w:val="continue"/>
          </w:tcPr>
          <w:p>
            <w:pPr>
              <w:spacing w:after="0"/>
              <w:rPr>
                <w:sz w:val="11"/>
                <w:szCs w:val="11"/>
                <w:color w:val="auto"/>
              </w:rPr>
            </w:pP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40" w:type="dxa"/>
            <w:vAlign w:val="bottom"/>
          </w:tcPr>
          <w:p>
            <w:pPr>
              <w:jc w:val="center"/>
              <w:ind w:right="12"/>
              <w:spacing w:after="0" w:line="129" w:lineRule="exact"/>
              <w:rPr>
                <w:sz w:val="20"/>
                <w:szCs w:val="20"/>
                <w:color w:val="auto"/>
              </w:rPr>
            </w:pPr>
            <w:r>
              <w:rPr>
                <w:rFonts w:ascii="Arial" w:cs="Arial" w:eastAsia="Arial" w:hAnsi="Arial"/>
                <w:sz w:val="13"/>
                <w:szCs w:val="13"/>
                <w:b w:val="1"/>
                <w:bCs w:val="1"/>
                <w:color w:val="auto"/>
                <w:w w:val="98"/>
              </w:rPr>
              <w:t>Gains (Losses)</w:t>
            </w:r>
          </w:p>
        </w:tc>
        <w:tc>
          <w:tcPr>
            <w:tcW w:w="80" w:type="dxa"/>
            <w:vAlign w:val="bottom"/>
          </w:tcPr>
          <w:p>
            <w:pPr>
              <w:spacing w:after="0"/>
              <w:rPr>
                <w:sz w:val="11"/>
                <w:szCs w:val="11"/>
                <w:color w:val="auto"/>
              </w:rPr>
            </w:pPr>
          </w:p>
        </w:tc>
        <w:tc>
          <w:tcPr>
            <w:tcW w:w="1100" w:type="dxa"/>
            <w:vAlign w:val="bottom"/>
            <w:gridSpan w:val="2"/>
          </w:tcPr>
          <w:p>
            <w:pPr>
              <w:jc w:val="center"/>
              <w:spacing w:after="0" w:line="129" w:lineRule="exact"/>
              <w:rPr>
                <w:sz w:val="20"/>
                <w:szCs w:val="20"/>
                <w:color w:val="auto"/>
              </w:rPr>
            </w:pPr>
            <w:r>
              <w:rPr>
                <w:rFonts w:ascii="Arial" w:cs="Arial" w:eastAsia="Arial" w:hAnsi="Arial"/>
                <w:sz w:val="13"/>
                <w:szCs w:val="13"/>
                <w:b w:val="1"/>
                <w:bCs w:val="1"/>
                <w:color w:val="auto"/>
                <w:w w:val="99"/>
              </w:rPr>
              <w:t>on Available-for-</w:t>
            </w:r>
          </w:p>
        </w:tc>
        <w:tc>
          <w:tcPr>
            <w:tcW w:w="100" w:type="dxa"/>
            <w:vAlign w:val="bottom"/>
          </w:tcPr>
          <w:p>
            <w:pPr>
              <w:spacing w:after="0"/>
              <w:rPr>
                <w:sz w:val="11"/>
                <w:szCs w:val="11"/>
                <w:color w:val="auto"/>
              </w:rPr>
            </w:pPr>
          </w:p>
        </w:tc>
        <w:tc>
          <w:tcPr>
            <w:tcW w:w="1100" w:type="dxa"/>
            <w:vAlign w:val="bottom"/>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tcPr>
          <w:p>
            <w:pPr>
              <w:jc w:val="center"/>
              <w:ind w:right="52"/>
              <w:spacing w:after="0" w:line="129" w:lineRule="exact"/>
              <w:rPr>
                <w:sz w:val="20"/>
                <w:szCs w:val="20"/>
                <w:color w:val="auto"/>
              </w:rPr>
            </w:pPr>
            <w:r>
              <w:rPr>
                <w:rFonts w:ascii="Arial" w:cs="Arial" w:eastAsia="Arial" w:hAnsi="Arial"/>
                <w:sz w:val="13"/>
                <w:szCs w:val="13"/>
                <w:b w:val="1"/>
                <w:bCs w:val="1"/>
                <w:color w:val="auto"/>
                <w:w w:val="98"/>
              </w:rPr>
              <w:t>Currency</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4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rPr>
              <w:t>on Derivative</w:t>
            </w: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w w:val="97"/>
              </w:rPr>
              <w:t>Sale Debt</w:t>
            </w: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80" w:type="dxa"/>
            <w:vAlign w:val="bottom"/>
          </w:tcPr>
          <w:p>
            <w:pPr>
              <w:jc w:val="center"/>
              <w:ind w:right="51"/>
              <w:spacing w:after="0" w:line="129" w:lineRule="exact"/>
              <w:rPr>
                <w:sz w:val="20"/>
                <w:szCs w:val="20"/>
                <w:color w:val="auto"/>
              </w:rPr>
            </w:pPr>
            <w:r>
              <w:rPr>
                <w:rFonts w:ascii="Arial" w:cs="Arial" w:eastAsia="Arial" w:hAnsi="Arial"/>
                <w:sz w:val="13"/>
                <w:szCs w:val="13"/>
                <w:b w:val="1"/>
                <w:bCs w:val="1"/>
                <w:color w:val="auto"/>
                <w:w w:val="98"/>
              </w:rPr>
              <w:t>Pension</w:t>
            </w: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tcPr>
          <w:p>
            <w:pPr>
              <w:jc w:val="center"/>
              <w:ind w:right="52"/>
              <w:spacing w:after="0" w:line="129" w:lineRule="exact"/>
              <w:rPr>
                <w:sz w:val="20"/>
                <w:szCs w:val="20"/>
                <w:color w:val="auto"/>
              </w:rPr>
            </w:pPr>
            <w:r>
              <w:rPr>
                <w:rFonts w:ascii="Arial" w:cs="Arial" w:eastAsia="Arial" w:hAnsi="Arial"/>
                <w:sz w:val="13"/>
                <w:szCs w:val="13"/>
                <w:b w:val="1"/>
                <w:bCs w:val="1"/>
                <w:color w:val="auto"/>
                <w:w w:val="96"/>
              </w:rPr>
              <w:t>Translation</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vMerge w:val="restart"/>
          </w:tcPr>
          <w:p>
            <w:pPr>
              <w:jc w:val="right"/>
              <w:ind w:right="251"/>
              <w:spacing w:after="0"/>
              <w:rPr>
                <w:sz w:val="20"/>
                <w:szCs w:val="20"/>
                <w:color w:val="auto"/>
              </w:rPr>
            </w:pPr>
            <w:r>
              <w:rPr>
                <w:rFonts w:ascii="Arial" w:cs="Arial" w:eastAsia="Arial" w:hAnsi="Arial"/>
                <w:sz w:val="13"/>
                <w:szCs w:val="13"/>
                <w:b w:val="1"/>
                <w:bCs w:val="1"/>
                <w:color w:val="auto"/>
              </w:rPr>
              <w:t>Total</w:t>
            </w:r>
          </w:p>
        </w:tc>
        <w:tc>
          <w:tcPr>
            <w:tcW w:w="0" w:type="dxa"/>
            <w:vAlign w:val="bottom"/>
          </w:tcPr>
          <w:p>
            <w:pPr>
              <w:spacing w:after="0"/>
              <w:rPr>
                <w:sz w:val="1"/>
                <w:szCs w:val="1"/>
                <w:color w:val="auto"/>
              </w:rPr>
            </w:pPr>
          </w:p>
        </w:tc>
      </w:tr>
      <w:tr>
        <w:trPr>
          <w:trHeight w:val="176"/>
        </w:trPr>
        <w:tc>
          <w:tcPr>
            <w:tcW w:w="4820" w:type="dxa"/>
            <w:vAlign w:val="bottom"/>
            <w:tcBorders>
              <w:bottom w:val="single" w:sz="8" w:color="CCEEFF"/>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w w:val="99"/>
              </w:rPr>
              <w:t>Instruments</w:t>
            </w:r>
          </w:p>
        </w:tc>
        <w:tc>
          <w:tcPr>
            <w:tcW w:w="8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w w:val="99"/>
              </w:rPr>
              <w:t>Securities</w:t>
            </w:r>
          </w:p>
        </w:tc>
        <w:tc>
          <w:tcPr>
            <w:tcW w:w="10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80" w:type="dxa"/>
            <w:vAlign w:val="bottom"/>
            <w:tcBorders>
              <w:bottom w:val="single" w:sz="8" w:color="auto"/>
            </w:tcBorders>
          </w:tcPr>
          <w:p>
            <w:pPr>
              <w:jc w:val="center"/>
              <w:ind w:right="51"/>
              <w:spacing w:after="0"/>
              <w:rPr>
                <w:sz w:val="20"/>
                <w:szCs w:val="20"/>
                <w:color w:val="auto"/>
              </w:rPr>
            </w:pPr>
            <w:r>
              <w:rPr>
                <w:rFonts w:ascii="Arial" w:cs="Arial" w:eastAsia="Arial" w:hAnsi="Arial"/>
                <w:sz w:val="13"/>
                <w:szCs w:val="13"/>
                <w:b w:val="1"/>
                <w:bCs w:val="1"/>
                <w:color w:val="auto"/>
                <w:w w:val="98"/>
              </w:rPr>
              <w:t>Components</w:t>
            </w:r>
          </w:p>
        </w:tc>
        <w:tc>
          <w:tcPr>
            <w:tcW w:w="10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jc w:val="center"/>
              <w:ind w:right="72"/>
              <w:spacing w:after="0"/>
              <w:rPr>
                <w:sz w:val="20"/>
                <w:szCs w:val="20"/>
                <w:color w:val="auto"/>
              </w:rPr>
            </w:pPr>
            <w:r>
              <w:rPr>
                <w:rFonts w:ascii="Arial" w:cs="Arial" w:eastAsia="Arial" w:hAnsi="Arial"/>
                <w:sz w:val="13"/>
                <w:szCs w:val="13"/>
                <w:b w:val="1"/>
                <w:bCs w:val="1"/>
                <w:color w:val="auto"/>
                <w:w w:val="99"/>
              </w:rPr>
              <w:t>Adjustments</w:t>
            </w:r>
          </w:p>
        </w:tc>
        <w:tc>
          <w:tcPr>
            <w:tcW w:w="100" w:type="dxa"/>
            <w:vAlign w:val="bottom"/>
            <w:tcBorders>
              <w:bottom w:val="single" w:sz="8" w:color="CCEEFF"/>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4820" w:type="dxa"/>
            <w:vAlign w:val="bottom"/>
            <w:shd w:val="clear" w:color="auto" w:fill="CCEEFF"/>
          </w:tcPr>
          <w:p>
            <w:pPr>
              <w:spacing w:after="0"/>
              <w:rPr>
                <w:sz w:val="20"/>
                <w:szCs w:val="20"/>
                <w:color w:val="auto"/>
              </w:rPr>
            </w:pPr>
            <w:r>
              <w:rPr>
                <w:rFonts w:ascii="Arial" w:cs="Arial" w:eastAsia="Arial" w:hAnsi="Arial"/>
                <w:sz w:val="14"/>
                <w:szCs w:val="14"/>
                <w:color w:val="auto"/>
              </w:rPr>
              <w:t>Balances, January 31, 2023</w:t>
            </w:r>
          </w:p>
        </w:tc>
        <w:tc>
          <w:tcPr>
            <w:tcW w:w="8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1040" w:type="dxa"/>
            <w:vAlign w:val="bottom"/>
            <w:shd w:val="clear" w:color="auto" w:fill="CCEEFF"/>
          </w:tcPr>
          <w:p>
            <w:pPr>
              <w:jc w:val="right"/>
              <w:ind w:right="32"/>
              <w:spacing w:after="0"/>
              <w:rPr>
                <w:sz w:val="20"/>
                <w:szCs w:val="20"/>
                <w:color w:val="auto"/>
              </w:rPr>
            </w:pPr>
            <w:r>
              <w:rPr>
                <w:rFonts w:ascii="Arial" w:cs="Arial" w:eastAsia="Arial" w:hAnsi="Arial"/>
                <w:sz w:val="14"/>
                <w:szCs w:val="14"/>
                <w:color w:val="auto"/>
              </w:rPr>
              <w:t>64</w:t>
            </w:r>
          </w:p>
        </w:tc>
        <w:tc>
          <w:tcPr>
            <w:tcW w:w="18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32"/>
              <w:spacing w:after="0"/>
              <w:rPr>
                <w:sz w:val="20"/>
                <w:szCs w:val="20"/>
                <w:color w:val="auto"/>
              </w:rPr>
            </w:pPr>
            <w:r>
              <w:rPr>
                <w:rFonts w:ascii="Arial" w:cs="Arial" w:eastAsia="Arial" w:hAnsi="Arial"/>
                <w:sz w:val="14"/>
                <w:szCs w:val="14"/>
                <w:color w:val="auto"/>
              </w:rPr>
              <w:t>18</w:t>
            </w:r>
          </w:p>
        </w:tc>
        <w:tc>
          <w:tcPr>
            <w:tcW w:w="22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center"/>
              <w:ind w:left="571"/>
              <w:spacing w:after="0"/>
              <w:rPr>
                <w:sz w:val="20"/>
                <w:szCs w:val="20"/>
                <w:color w:val="auto"/>
              </w:rPr>
            </w:pPr>
            <w:r>
              <w:rPr>
                <w:rFonts w:ascii="Arial" w:cs="Arial" w:eastAsia="Arial" w:hAnsi="Arial"/>
                <w:sz w:val="14"/>
                <w:szCs w:val="14"/>
                <w:color w:val="auto"/>
              </w:rPr>
              <w:t>(19)</w:t>
            </w:r>
          </w:p>
        </w:tc>
        <w:tc>
          <w:tcPr>
            <w:tcW w:w="220" w:type="dxa"/>
            <w:vAlign w:val="bottom"/>
            <w:gridSpan w:val="2"/>
            <w:shd w:val="clear" w:color="auto" w:fill="CCEEFF"/>
          </w:tcPr>
          <w:p>
            <w:pPr>
              <w:jc w:val="right"/>
              <w:ind w:right="40"/>
              <w:spacing w:after="0"/>
              <w:rPr>
                <w:sz w:val="20"/>
                <w:szCs w:val="20"/>
                <w:color w:val="auto"/>
              </w:rPr>
            </w:pPr>
            <w:r>
              <w:rPr>
                <w:rFonts w:ascii="Arial" w:cs="Arial" w:eastAsia="Arial" w:hAnsi="Arial"/>
                <w:sz w:val="14"/>
                <w:szCs w:val="14"/>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(248)</w:t>
            </w:r>
          </w:p>
        </w:tc>
        <w:tc>
          <w:tcPr>
            <w:tcW w:w="300" w:type="dxa"/>
            <w:vAlign w:val="bottom"/>
            <w:gridSpan w:val="2"/>
            <w:shd w:val="clear" w:color="auto" w:fill="CCEEFF"/>
          </w:tcPr>
          <w:p>
            <w:pPr>
              <w:jc w:val="right"/>
              <w:ind w:right="120"/>
              <w:spacing w:after="0"/>
              <w:rPr>
                <w:sz w:val="20"/>
                <w:szCs w:val="20"/>
                <w:color w:val="auto"/>
              </w:rPr>
            </w:pPr>
            <w:r>
              <w:rPr>
                <w:rFonts w:ascii="Arial" w:cs="Arial" w:eastAsia="Arial" w:hAnsi="Arial"/>
                <w:sz w:val="14"/>
                <w:szCs w:val="14"/>
                <w:color w:val="auto"/>
              </w:rPr>
              <w:t>$</w:t>
            </w:r>
          </w:p>
        </w:tc>
        <w:tc>
          <w:tcPr>
            <w:tcW w:w="7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(185)</w:t>
            </w:r>
          </w:p>
        </w:tc>
        <w:tc>
          <w:tcPr>
            <w:tcW w:w="0" w:type="dxa"/>
            <w:vAlign w:val="bottom"/>
          </w:tcPr>
          <w:p>
            <w:pPr>
              <w:spacing w:after="0"/>
              <w:rPr>
                <w:sz w:val="1"/>
                <w:szCs w:val="1"/>
                <w:color w:val="auto"/>
              </w:rPr>
            </w:pPr>
          </w:p>
        </w:tc>
      </w:tr>
      <w:tr>
        <w:trPr>
          <w:trHeight w:val="185"/>
        </w:trPr>
        <w:tc>
          <w:tcPr>
            <w:tcW w:w="4820" w:type="dxa"/>
            <w:vAlign w:val="bottom"/>
          </w:tcPr>
          <w:p>
            <w:pPr>
              <w:spacing w:after="0"/>
              <w:rPr>
                <w:sz w:val="20"/>
                <w:szCs w:val="20"/>
                <w:color w:val="auto"/>
              </w:rPr>
            </w:pPr>
            <w:r>
              <w:rPr>
                <w:rFonts w:ascii="Arial" w:cs="Arial" w:eastAsia="Arial" w:hAnsi="Arial"/>
                <w:sz w:val="14"/>
                <w:szCs w:val="14"/>
                <w:color w:val="auto"/>
              </w:rPr>
              <w:t>Other comprehensive income (loss) before reclassifications</w:t>
            </w:r>
          </w:p>
        </w:tc>
        <w:tc>
          <w:tcPr>
            <w:tcW w:w="80" w:type="dxa"/>
            <w:vAlign w:val="bottom"/>
          </w:tcPr>
          <w:p>
            <w:pPr>
              <w:spacing w:after="0"/>
              <w:rPr>
                <w:sz w:val="16"/>
                <w:szCs w:val="16"/>
                <w:color w:val="auto"/>
              </w:rPr>
            </w:pPr>
          </w:p>
        </w:tc>
        <w:tc>
          <w:tcPr>
            <w:tcW w:w="1040" w:type="dxa"/>
            <w:vAlign w:val="bottom"/>
          </w:tcPr>
          <w:p>
            <w:pPr>
              <w:jc w:val="right"/>
              <w:ind w:right="32"/>
              <w:spacing w:after="0"/>
              <w:rPr>
                <w:sz w:val="20"/>
                <w:szCs w:val="20"/>
                <w:color w:val="auto"/>
              </w:rPr>
            </w:pPr>
            <w:r>
              <w:rPr>
                <w:rFonts w:ascii="Arial" w:cs="Arial" w:eastAsia="Arial" w:hAnsi="Arial"/>
                <w:sz w:val="14"/>
                <w:szCs w:val="14"/>
                <w:color w:val="auto"/>
              </w:rPr>
              <w:t>7</w:t>
            </w:r>
          </w:p>
        </w:tc>
        <w:tc>
          <w:tcPr>
            <w:tcW w:w="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00" w:type="dxa"/>
            <w:vAlign w:val="bottom"/>
          </w:tcPr>
          <w:p>
            <w:pPr>
              <w:jc w:val="right"/>
              <w:ind w:right="32"/>
              <w:spacing w:after="0"/>
              <w:rPr>
                <w:sz w:val="20"/>
                <w:szCs w:val="20"/>
                <w:color w:val="auto"/>
              </w:rPr>
            </w:pPr>
            <w:r>
              <w:rPr>
                <w:rFonts w:ascii="Arial" w:cs="Arial" w:eastAsia="Arial" w:hAnsi="Arial"/>
                <w:sz w:val="14"/>
                <w:szCs w:val="14"/>
                <w:color w:val="auto"/>
              </w:rPr>
              <w:t>2</w:t>
            </w: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80" w:type="dxa"/>
            <w:vAlign w:val="bottom"/>
          </w:tcPr>
          <w:p>
            <w:pPr>
              <w:jc w:val="center"/>
              <w:ind w:left="611"/>
              <w:spacing w:after="0"/>
              <w:rPr>
                <w:sz w:val="20"/>
                <w:szCs w:val="20"/>
                <w:color w:val="auto"/>
              </w:rPr>
            </w:pPr>
            <w:r>
              <w:rPr>
                <w:rFonts w:ascii="Arial" w:cs="Arial" w:eastAsia="Arial" w:hAnsi="Arial"/>
                <w:sz w:val="14"/>
                <w:szCs w:val="14"/>
                <w:color w:val="auto"/>
                <w:w w:val="99"/>
              </w:rPr>
              <w:t>—</w:t>
            </w: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60" w:type="dxa"/>
            <w:vAlign w:val="bottom"/>
          </w:tcPr>
          <w:p>
            <w:pPr>
              <w:jc w:val="right"/>
              <w:spacing w:after="0"/>
              <w:rPr>
                <w:sz w:val="20"/>
                <w:szCs w:val="20"/>
                <w:color w:val="auto"/>
              </w:rPr>
            </w:pPr>
            <w:r>
              <w:rPr>
                <w:rFonts w:ascii="Arial" w:cs="Arial" w:eastAsia="Arial" w:hAnsi="Arial"/>
                <w:sz w:val="14"/>
                <w:szCs w:val="14"/>
                <w:color w:val="auto"/>
              </w:rPr>
              <w:t>(9)</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40" w:type="dxa"/>
            <w:vAlign w:val="bottom"/>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90"/>
        </w:trPr>
        <w:tc>
          <w:tcPr>
            <w:tcW w:w="4820" w:type="dxa"/>
            <w:vAlign w:val="bottom"/>
            <w:shd w:val="clear" w:color="auto" w:fill="CCEEFF"/>
          </w:tcPr>
          <w:p>
            <w:pPr>
              <w:spacing w:after="0"/>
              <w:rPr>
                <w:sz w:val="20"/>
                <w:szCs w:val="20"/>
                <w:color w:val="auto"/>
              </w:rPr>
            </w:pPr>
            <w:r>
              <w:rPr>
                <w:rFonts w:ascii="Arial" w:cs="Arial" w:eastAsia="Arial" w:hAnsi="Arial"/>
                <w:sz w:val="14"/>
                <w:szCs w:val="14"/>
                <w:color w:val="auto"/>
              </w:rPr>
              <w:t>Pre-tax gains reclassified from accumulated other comprehensive loss</w:t>
            </w:r>
          </w:p>
        </w:tc>
        <w:tc>
          <w:tcPr>
            <w:tcW w:w="80" w:type="dxa"/>
            <w:vAlign w:val="bottom"/>
            <w:shd w:val="clear" w:color="auto" w:fill="CCEEFF"/>
          </w:tcPr>
          <w:p>
            <w:pPr>
              <w:spacing w:after="0"/>
              <w:rPr>
                <w:sz w:val="16"/>
                <w:szCs w:val="16"/>
                <w:color w:val="auto"/>
              </w:rPr>
            </w:pP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(22)</w:t>
            </w:r>
          </w:p>
        </w:tc>
        <w:tc>
          <w:tcPr>
            <w:tcW w:w="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000" w:type="dxa"/>
            <w:vAlign w:val="bottom"/>
            <w:shd w:val="clear" w:color="auto" w:fill="CCEEFF"/>
          </w:tcPr>
          <w:p>
            <w:pPr>
              <w:jc w:val="right"/>
              <w:ind w:right="32"/>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980" w:type="dxa"/>
            <w:vAlign w:val="bottom"/>
            <w:shd w:val="clear" w:color="auto" w:fill="CCEEFF"/>
          </w:tcPr>
          <w:p>
            <w:pPr>
              <w:jc w:val="center"/>
              <w:ind w:left="611"/>
              <w:spacing w:after="0"/>
              <w:rPr>
                <w:sz w:val="20"/>
                <w:szCs w:val="20"/>
                <w:color w:val="auto"/>
              </w:rPr>
            </w:pPr>
            <w:r>
              <w:rPr>
                <w:rFonts w:ascii="Arial" w:cs="Arial" w:eastAsia="Arial" w:hAnsi="Arial"/>
                <w:sz w:val="14"/>
                <w:szCs w:val="14"/>
                <w:color w:val="auto"/>
                <w:w w:val="99"/>
              </w:rPr>
              <w:t>—</w:t>
            </w:r>
          </w:p>
        </w:tc>
        <w:tc>
          <w:tcPr>
            <w:tcW w:w="10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96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(22)</w:t>
            </w:r>
          </w:p>
        </w:tc>
        <w:tc>
          <w:tcPr>
            <w:tcW w:w="0" w:type="dxa"/>
            <w:vAlign w:val="bottom"/>
          </w:tcPr>
          <w:p>
            <w:pPr>
              <w:spacing w:after="0"/>
              <w:rPr>
                <w:sz w:val="1"/>
                <w:szCs w:val="1"/>
                <w:color w:val="auto"/>
              </w:rPr>
            </w:pPr>
          </w:p>
        </w:tc>
      </w:tr>
      <w:tr>
        <w:trPr>
          <w:trHeight w:val="185"/>
        </w:trPr>
        <w:tc>
          <w:tcPr>
            <w:tcW w:w="4820" w:type="dxa"/>
            <w:vAlign w:val="bottom"/>
            <w:tcBorders>
              <w:bottom w:val="single" w:sz="8" w:color="CCEEFF"/>
            </w:tcBorders>
          </w:tcPr>
          <w:p>
            <w:pPr>
              <w:spacing w:after="0"/>
              <w:rPr>
                <w:sz w:val="20"/>
                <w:szCs w:val="20"/>
                <w:color w:val="auto"/>
              </w:rPr>
            </w:pPr>
            <w:r>
              <w:rPr>
                <w:rFonts w:ascii="Arial" w:cs="Arial" w:eastAsia="Arial" w:hAnsi="Arial"/>
                <w:sz w:val="14"/>
                <w:szCs w:val="14"/>
                <w:color w:val="auto"/>
              </w:rPr>
              <w:t>Tax effects</w:t>
            </w:r>
          </w:p>
        </w:tc>
        <w:tc>
          <w:tcPr>
            <w:tcW w:w="80" w:type="dxa"/>
            <w:vAlign w:val="bottom"/>
            <w:tcBorders>
              <w:bottom w:val="single" w:sz="8" w:color="auto"/>
            </w:tcBorders>
          </w:tcPr>
          <w:p>
            <w:pPr>
              <w:spacing w:after="0"/>
              <w:rPr>
                <w:sz w:val="16"/>
                <w:szCs w:val="16"/>
                <w:color w:val="auto"/>
              </w:rPr>
            </w:pPr>
          </w:p>
        </w:tc>
        <w:tc>
          <w:tcPr>
            <w:tcW w:w="1040" w:type="dxa"/>
            <w:vAlign w:val="bottom"/>
            <w:tcBorders>
              <w:bottom w:val="single" w:sz="8" w:color="auto"/>
            </w:tcBorders>
          </w:tcPr>
          <w:p>
            <w:pPr>
              <w:jc w:val="right"/>
              <w:ind w:right="32"/>
              <w:spacing w:after="0"/>
              <w:rPr>
                <w:sz w:val="20"/>
                <w:szCs w:val="20"/>
                <w:color w:val="auto"/>
              </w:rPr>
            </w:pPr>
            <w:r>
              <w:rPr>
                <w:rFonts w:ascii="Arial" w:cs="Arial" w:eastAsia="Arial" w:hAnsi="Arial"/>
                <w:sz w:val="14"/>
                <w:szCs w:val="14"/>
                <w:color w:val="auto"/>
              </w:rPr>
              <w:t>2</w:t>
            </w:r>
          </w:p>
        </w:tc>
        <w:tc>
          <w:tcPr>
            <w:tcW w:w="80" w:type="dxa"/>
            <w:vAlign w:val="bottom"/>
            <w:tcBorders>
              <w:bottom w:val="single" w:sz="8" w:color="CCEEFF"/>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jc w:val="right"/>
              <w:ind w:right="32"/>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jc w:val="center"/>
              <w:ind w:left="611"/>
              <w:spacing w:after="0"/>
              <w:rPr>
                <w:sz w:val="20"/>
                <w:szCs w:val="20"/>
                <w:color w:val="auto"/>
              </w:rPr>
            </w:pPr>
            <w:r>
              <w:rPr>
                <w:rFonts w:ascii="Arial" w:cs="Arial" w:eastAsia="Arial" w:hAnsi="Arial"/>
                <w:sz w:val="14"/>
                <w:szCs w:val="14"/>
                <w:color w:val="auto"/>
                <w:w w:val="99"/>
              </w:rPr>
              <w:t>—</w:t>
            </w:r>
          </w:p>
        </w:tc>
        <w:tc>
          <w:tcPr>
            <w:tcW w:w="100" w:type="dxa"/>
            <w:vAlign w:val="bottom"/>
            <w:tcBorders>
              <w:bottom w:val="single" w:sz="8" w:color="CCEEFF"/>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960" w:type="dxa"/>
            <w:vAlign w:val="bottom"/>
            <w:tcBorders>
              <w:bottom w:val="single" w:sz="8" w:color="auto"/>
            </w:tcBorders>
          </w:tcPr>
          <w:p>
            <w:pPr>
              <w:jc w:val="right"/>
              <w:ind w:right="12"/>
              <w:spacing w:after="0"/>
              <w:rPr>
                <w:sz w:val="20"/>
                <w:szCs w:val="20"/>
                <w:color w:val="auto"/>
              </w:rPr>
            </w:pPr>
            <w:r>
              <w:rPr>
                <w:rFonts w:ascii="Arial" w:cs="Arial" w:eastAsia="Arial" w:hAnsi="Arial"/>
                <w:sz w:val="14"/>
                <w:szCs w:val="14"/>
                <w:color w:val="auto"/>
              </w:rPr>
              <w:t>5</w:t>
            </w:r>
          </w:p>
        </w:tc>
        <w:tc>
          <w:tcPr>
            <w:tcW w:w="100" w:type="dxa"/>
            <w:vAlign w:val="bottom"/>
            <w:tcBorders>
              <w:bottom w:val="single" w:sz="8" w:color="CCEEFF"/>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7</w:t>
            </w:r>
          </w:p>
        </w:tc>
        <w:tc>
          <w:tcPr>
            <w:tcW w:w="0" w:type="dxa"/>
            <w:vAlign w:val="bottom"/>
          </w:tcPr>
          <w:p>
            <w:pPr>
              <w:spacing w:after="0"/>
              <w:rPr>
                <w:sz w:val="1"/>
                <w:szCs w:val="1"/>
                <w:color w:val="auto"/>
              </w:rPr>
            </w:pPr>
          </w:p>
        </w:tc>
      </w:tr>
      <w:tr>
        <w:trPr>
          <w:trHeight w:val="179"/>
        </w:trPr>
        <w:tc>
          <w:tcPr>
            <w:tcW w:w="4820" w:type="dxa"/>
            <w:vAlign w:val="bottom"/>
            <w:shd w:val="clear" w:color="auto" w:fill="CCEEFF"/>
          </w:tcPr>
          <w:p>
            <w:pPr>
              <w:spacing w:after="0"/>
              <w:rPr>
                <w:sz w:val="20"/>
                <w:szCs w:val="20"/>
                <w:color w:val="auto"/>
              </w:rPr>
            </w:pPr>
            <w:r>
              <w:rPr>
                <w:rFonts w:ascii="Arial" w:cs="Arial" w:eastAsia="Arial" w:hAnsi="Arial"/>
                <w:sz w:val="14"/>
                <w:szCs w:val="14"/>
                <w:color w:val="auto"/>
              </w:rPr>
              <w:t>Net current period other comprehensive (loss) income</w:t>
            </w:r>
          </w:p>
        </w:tc>
        <w:tc>
          <w:tcPr>
            <w:tcW w:w="80" w:type="dxa"/>
            <w:vAlign w:val="bottom"/>
            <w:tcBorders>
              <w:bottom w:val="single" w:sz="8" w:color="auto"/>
            </w:tcBorders>
            <w:shd w:val="clear" w:color="auto" w:fill="CCEEFF"/>
          </w:tcPr>
          <w:p>
            <w:pPr>
              <w:spacing w:after="0"/>
              <w:rPr>
                <w:sz w:val="15"/>
                <w:szCs w:val="15"/>
                <w:color w:val="auto"/>
              </w:rPr>
            </w:pPr>
          </w:p>
        </w:tc>
        <w:tc>
          <w:tcPr>
            <w:tcW w:w="10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(13)</w:t>
            </w:r>
          </w:p>
        </w:tc>
        <w:tc>
          <w:tcPr>
            <w:tcW w:w="80" w:type="dxa"/>
            <w:vAlign w:val="bottom"/>
            <w:shd w:val="clear" w:color="auto" w:fill="CCEEFF"/>
          </w:tcPr>
          <w:p>
            <w:pPr>
              <w:spacing w:after="0"/>
              <w:rPr>
                <w:sz w:val="15"/>
                <w:szCs w:val="15"/>
                <w:color w:val="auto"/>
              </w:rPr>
            </w:pPr>
          </w:p>
        </w:tc>
        <w:tc>
          <w:tcPr>
            <w:tcW w:w="100" w:type="dxa"/>
            <w:vAlign w:val="bottom"/>
            <w:tcBorders>
              <w:bottom w:val="single" w:sz="8" w:color="auto"/>
            </w:tcBorders>
            <w:shd w:val="clear" w:color="auto" w:fill="CCEEFF"/>
          </w:tcPr>
          <w:p>
            <w:pPr>
              <w:spacing w:after="0"/>
              <w:rPr>
                <w:sz w:val="15"/>
                <w:szCs w:val="15"/>
                <w:color w:val="auto"/>
              </w:rPr>
            </w:pPr>
          </w:p>
        </w:tc>
        <w:tc>
          <w:tcPr>
            <w:tcW w:w="1000" w:type="dxa"/>
            <w:vAlign w:val="bottom"/>
            <w:tcBorders>
              <w:bottom w:val="single" w:sz="8" w:color="auto"/>
            </w:tcBorders>
            <w:shd w:val="clear" w:color="auto" w:fill="CCEEFF"/>
          </w:tcPr>
          <w:p>
            <w:pPr>
              <w:jc w:val="right"/>
              <w:ind w:right="32"/>
              <w:spacing w:after="0"/>
              <w:rPr>
                <w:sz w:val="20"/>
                <w:szCs w:val="20"/>
                <w:color w:val="auto"/>
              </w:rPr>
            </w:pPr>
            <w:r>
              <w:rPr>
                <w:rFonts w:ascii="Arial" w:cs="Arial" w:eastAsia="Arial" w:hAnsi="Arial"/>
                <w:sz w:val="14"/>
                <w:szCs w:val="14"/>
                <w:color w:val="auto"/>
              </w:rPr>
              <w:t>2</w:t>
            </w:r>
          </w:p>
        </w:tc>
        <w:tc>
          <w:tcPr>
            <w:tcW w:w="100" w:type="dxa"/>
            <w:vAlign w:val="bottom"/>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spacing w:after="0"/>
              <w:rPr>
                <w:sz w:val="15"/>
                <w:szCs w:val="15"/>
                <w:color w:val="auto"/>
              </w:rPr>
            </w:pPr>
          </w:p>
        </w:tc>
        <w:tc>
          <w:tcPr>
            <w:tcW w:w="980" w:type="dxa"/>
            <w:vAlign w:val="bottom"/>
            <w:tcBorders>
              <w:bottom w:val="single" w:sz="8" w:color="auto"/>
            </w:tcBorders>
            <w:shd w:val="clear" w:color="auto" w:fill="CCEEFF"/>
          </w:tcPr>
          <w:p>
            <w:pPr>
              <w:jc w:val="center"/>
              <w:ind w:left="611"/>
              <w:spacing w:after="0"/>
              <w:rPr>
                <w:sz w:val="20"/>
                <w:szCs w:val="20"/>
                <w:color w:val="auto"/>
              </w:rPr>
            </w:pPr>
            <w:r>
              <w:rPr>
                <w:rFonts w:ascii="Arial" w:cs="Arial" w:eastAsia="Arial" w:hAnsi="Arial"/>
                <w:sz w:val="14"/>
                <w:szCs w:val="14"/>
                <w:color w:val="auto"/>
                <w:w w:val="99"/>
              </w:rPr>
              <w:t>—</w:t>
            </w:r>
          </w:p>
        </w:tc>
        <w:tc>
          <w:tcPr>
            <w:tcW w:w="100" w:type="dxa"/>
            <w:vAlign w:val="bottom"/>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spacing w:after="0"/>
              <w:rPr>
                <w:sz w:val="15"/>
                <w:szCs w:val="15"/>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w:t>
            </w:r>
          </w:p>
        </w:tc>
        <w:tc>
          <w:tcPr>
            <w:tcW w:w="100" w:type="dxa"/>
            <w:vAlign w:val="bottom"/>
            <w:shd w:val="clear" w:color="auto" w:fill="CCEEFF"/>
          </w:tcPr>
          <w:p>
            <w:pPr>
              <w:spacing w:after="0"/>
              <w:rPr>
                <w:sz w:val="15"/>
                <w:szCs w:val="15"/>
                <w:color w:val="auto"/>
              </w:rPr>
            </w:pPr>
          </w:p>
        </w:tc>
        <w:tc>
          <w:tcPr>
            <w:tcW w:w="200" w:type="dxa"/>
            <w:vAlign w:val="bottom"/>
            <w:tcBorders>
              <w:bottom w:val="single" w:sz="8" w:color="auto"/>
            </w:tcBorders>
            <w:shd w:val="clear" w:color="auto" w:fill="CCEEFF"/>
          </w:tcPr>
          <w:p>
            <w:pPr>
              <w:spacing w:after="0"/>
              <w:rPr>
                <w:sz w:val="15"/>
                <w:szCs w:val="15"/>
                <w:color w:val="auto"/>
              </w:rPr>
            </w:pPr>
          </w:p>
        </w:tc>
        <w:tc>
          <w:tcPr>
            <w:tcW w:w="7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(15)</w:t>
            </w:r>
          </w:p>
        </w:tc>
        <w:tc>
          <w:tcPr>
            <w:tcW w:w="0" w:type="dxa"/>
            <w:vAlign w:val="bottom"/>
          </w:tcPr>
          <w:p>
            <w:pPr>
              <w:spacing w:after="0"/>
              <w:rPr>
                <w:sz w:val="1"/>
                <w:szCs w:val="1"/>
                <w:color w:val="auto"/>
              </w:rPr>
            </w:pPr>
          </w:p>
        </w:tc>
      </w:tr>
      <w:tr>
        <w:trPr>
          <w:trHeight w:val="182"/>
        </w:trPr>
        <w:tc>
          <w:tcPr>
            <w:tcW w:w="4820" w:type="dxa"/>
            <w:vAlign w:val="bottom"/>
          </w:tcPr>
          <w:p>
            <w:pPr>
              <w:spacing w:after="0"/>
              <w:rPr>
                <w:sz w:val="20"/>
                <w:szCs w:val="20"/>
                <w:color w:val="auto"/>
              </w:rPr>
            </w:pPr>
            <w:r>
              <w:rPr>
                <w:rFonts w:ascii="Arial" w:cs="Arial" w:eastAsia="Arial" w:hAnsi="Arial"/>
                <w:sz w:val="14"/>
                <w:szCs w:val="14"/>
                <w:color w:val="auto"/>
              </w:rPr>
              <w:t>Balances, April 30, 2023</w:t>
            </w:r>
          </w:p>
        </w:tc>
        <w:tc>
          <w:tcPr>
            <w:tcW w:w="80" w:type="dxa"/>
            <w:vAlign w:val="bottom"/>
          </w:tcPr>
          <w:p>
            <w:pPr>
              <w:jc w:val="right"/>
              <w:spacing w:after="0"/>
              <w:rPr>
                <w:sz w:val="20"/>
                <w:szCs w:val="20"/>
                <w:color w:val="auto"/>
              </w:rPr>
            </w:pPr>
            <w:r>
              <w:rPr>
                <w:rFonts w:ascii="Arial" w:cs="Arial" w:eastAsia="Arial" w:hAnsi="Arial"/>
                <w:sz w:val="14"/>
                <w:szCs w:val="14"/>
                <w:color w:val="auto"/>
                <w:w w:val="76"/>
              </w:rPr>
              <w:t>$</w:t>
            </w:r>
          </w:p>
        </w:tc>
        <w:tc>
          <w:tcPr>
            <w:tcW w:w="1040" w:type="dxa"/>
            <w:vAlign w:val="bottom"/>
          </w:tcPr>
          <w:p>
            <w:pPr>
              <w:jc w:val="right"/>
              <w:ind w:right="32"/>
              <w:spacing w:after="0"/>
              <w:rPr>
                <w:sz w:val="20"/>
                <w:szCs w:val="20"/>
                <w:color w:val="auto"/>
              </w:rPr>
            </w:pPr>
            <w:r>
              <w:rPr>
                <w:rFonts w:ascii="Arial" w:cs="Arial" w:eastAsia="Arial" w:hAnsi="Arial"/>
                <w:sz w:val="14"/>
                <w:szCs w:val="14"/>
                <w:color w:val="auto"/>
              </w:rPr>
              <w:t>51</w:t>
            </w:r>
          </w:p>
        </w:tc>
        <w:tc>
          <w:tcPr>
            <w:tcW w:w="180" w:type="dxa"/>
            <w:vAlign w:val="bottom"/>
            <w:gridSpan w:val="2"/>
          </w:tcPr>
          <w:p>
            <w:pPr>
              <w:jc w:val="right"/>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32"/>
              <w:spacing w:after="0"/>
              <w:rPr>
                <w:sz w:val="20"/>
                <w:szCs w:val="20"/>
                <w:color w:val="auto"/>
              </w:rPr>
            </w:pPr>
            <w:r>
              <w:rPr>
                <w:rFonts w:ascii="Arial" w:cs="Arial" w:eastAsia="Arial" w:hAnsi="Arial"/>
                <w:sz w:val="14"/>
                <w:szCs w:val="14"/>
                <w:color w:val="auto"/>
              </w:rPr>
              <w:t>20</w:t>
            </w:r>
          </w:p>
        </w:tc>
        <w:tc>
          <w:tcPr>
            <w:tcW w:w="220" w:type="dxa"/>
            <w:vAlign w:val="bottom"/>
            <w:gridSpan w:val="2"/>
          </w:tcPr>
          <w:p>
            <w:pPr>
              <w:jc w:val="right"/>
              <w:spacing w:after="0"/>
              <w:rPr>
                <w:sz w:val="20"/>
                <w:szCs w:val="20"/>
                <w:color w:val="auto"/>
              </w:rPr>
            </w:pPr>
            <w:r>
              <w:rPr>
                <w:rFonts w:ascii="Arial" w:cs="Arial" w:eastAsia="Arial" w:hAnsi="Arial"/>
                <w:sz w:val="14"/>
                <w:szCs w:val="14"/>
                <w:color w:val="auto"/>
              </w:rPr>
              <w:t>$</w:t>
            </w:r>
          </w:p>
        </w:tc>
        <w:tc>
          <w:tcPr>
            <w:tcW w:w="980" w:type="dxa"/>
            <w:vAlign w:val="bottom"/>
          </w:tcPr>
          <w:p>
            <w:pPr>
              <w:jc w:val="center"/>
              <w:ind w:left="571"/>
              <w:spacing w:after="0"/>
              <w:rPr>
                <w:sz w:val="20"/>
                <w:szCs w:val="20"/>
                <w:color w:val="auto"/>
              </w:rPr>
            </w:pPr>
            <w:r>
              <w:rPr>
                <w:rFonts w:ascii="Arial" w:cs="Arial" w:eastAsia="Arial" w:hAnsi="Arial"/>
                <w:sz w:val="14"/>
                <w:szCs w:val="14"/>
                <w:color w:val="auto"/>
              </w:rPr>
              <w:t>(19)</w:t>
            </w:r>
          </w:p>
        </w:tc>
        <w:tc>
          <w:tcPr>
            <w:tcW w:w="220" w:type="dxa"/>
            <w:vAlign w:val="bottom"/>
            <w:gridSpan w:val="2"/>
          </w:tcPr>
          <w:p>
            <w:pPr>
              <w:jc w:val="right"/>
              <w:ind w:right="40"/>
              <w:spacing w:after="0"/>
              <w:rPr>
                <w:sz w:val="20"/>
                <w:szCs w:val="20"/>
                <w:color w:val="auto"/>
              </w:rPr>
            </w:pPr>
            <w:r>
              <w:rPr>
                <w:rFonts w:ascii="Arial" w:cs="Arial" w:eastAsia="Arial" w:hAnsi="Arial"/>
                <w:sz w:val="14"/>
                <w:szCs w:val="14"/>
                <w:color w:val="auto"/>
              </w:rPr>
              <w:t>$</w:t>
            </w:r>
          </w:p>
        </w:tc>
        <w:tc>
          <w:tcPr>
            <w:tcW w:w="960" w:type="dxa"/>
            <w:vAlign w:val="bottom"/>
          </w:tcPr>
          <w:p>
            <w:pPr>
              <w:jc w:val="right"/>
              <w:spacing w:after="0"/>
              <w:rPr>
                <w:sz w:val="20"/>
                <w:szCs w:val="20"/>
                <w:color w:val="auto"/>
              </w:rPr>
            </w:pPr>
            <w:r>
              <w:rPr>
                <w:rFonts w:ascii="Arial" w:cs="Arial" w:eastAsia="Arial" w:hAnsi="Arial"/>
                <w:sz w:val="14"/>
                <w:szCs w:val="14"/>
                <w:color w:val="auto"/>
              </w:rPr>
              <w:t>(252)</w:t>
            </w:r>
          </w:p>
        </w:tc>
        <w:tc>
          <w:tcPr>
            <w:tcW w:w="300" w:type="dxa"/>
            <w:vAlign w:val="bottom"/>
            <w:gridSpan w:val="2"/>
          </w:tcPr>
          <w:p>
            <w:pPr>
              <w:jc w:val="right"/>
              <w:ind w:right="120"/>
              <w:spacing w:after="0"/>
              <w:rPr>
                <w:sz w:val="20"/>
                <w:szCs w:val="20"/>
                <w:color w:val="auto"/>
              </w:rPr>
            </w:pPr>
            <w:r>
              <w:rPr>
                <w:rFonts w:ascii="Arial" w:cs="Arial" w:eastAsia="Arial" w:hAnsi="Arial"/>
                <w:sz w:val="14"/>
                <w:szCs w:val="14"/>
                <w:color w:val="auto"/>
              </w:rPr>
              <w:t>$</w:t>
            </w:r>
          </w:p>
        </w:tc>
        <w:tc>
          <w:tcPr>
            <w:tcW w:w="740" w:type="dxa"/>
            <w:vAlign w:val="bottom"/>
          </w:tcPr>
          <w:p>
            <w:pPr>
              <w:jc w:val="right"/>
              <w:spacing w:after="0"/>
              <w:rPr>
                <w:sz w:val="20"/>
                <w:szCs w:val="20"/>
                <w:color w:val="auto"/>
              </w:rPr>
            </w:pPr>
            <w:r>
              <w:rPr>
                <w:rFonts w:ascii="Arial" w:cs="Arial" w:eastAsia="Arial" w:hAnsi="Arial"/>
                <w:sz w:val="14"/>
                <w:szCs w:val="14"/>
                <w:color w:val="auto"/>
              </w:rPr>
              <w:t>(200)</w:t>
            </w:r>
          </w:p>
        </w:tc>
        <w:tc>
          <w:tcPr>
            <w:tcW w:w="0" w:type="dxa"/>
            <w:vAlign w:val="bottom"/>
          </w:tcPr>
          <w:p>
            <w:pPr>
              <w:spacing w:after="0"/>
              <w:rPr>
                <w:sz w:val="1"/>
                <w:szCs w:val="1"/>
                <w:color w:val="auto"/>
              </w:rPr>
            </w:pPr>
          </w:p>
        </w:tc>
      </w:tr>
      <w:tr>
        <w:trPr>
          <w:trHeight w:val="20"/>
        </w:trPr>
        <w:tc>
          <w:tcPr>
            <w:tcW w:w="4820" w:type="dxa"/>
            <w:vAlign w:val="bottom"/>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0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ind w:left="400"/>
        <w:spacing w:after="0"/>
        <w:rPr>
          <w:sz w:val="20"/>
          <w:szCs w:val="20"/>
          <w:color w:val="auto"/>
        </w:rPr>
      </w:pPr>
      <w:r>
        <w:rPr>
          <w:rFonts w:ascii="Arial" w:cs="Arial" w:eastAsia="Arial" w:hAnsi="Arial"/>
          <w:sz w:val="15"/>
          <w:szCs w:val="15"/>
          <w:color w:val="auto"/>
        </w:rPr>
        <w:t>Accumulated other comprehensive loss, net of taxes, consisted of the following at April 30, 2022:</w:t>
      </w:r>
    </w:p>
    <w:p>
      <w:pPr>
        <w:spacing w:after="0" w:line="13"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48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020" w:type="dxa"/>
            <w:vAlign w:val="bottom"/>
            <w:vMerge w:val="restart"/>
          </w:tcPr>
          <w:p>
            <w:pPr>
              <w:jc w:val="center"/>
              <w:ind w:right="32"/>
              <w:spacing w:after="0"/>
              <w:rPr>
                <w:sz w:val="20"/>
                <w:szCs w:val="20"/>
                <w:color w:val="auto"/>
              </w:rPr>
            </w:pPr>
            <w:r>
              <w:rPr>
                <w:rFonts w:ascii="Arial" w:cs="Arial" w:eastAsia="Arial" w:hAnsi="Arial"/>
                <w:sz w:val="13"/>
                <w:szCs w:val="13"/>
                <w:b w:val="1"/>
                <w:bCs w:val="1"/>
                <w:color w:val="auto"/>
                <w:w w:val="97"/>
              </w:rPr>
              <w:t>Net Unrealized</w:t>
            </w:r>
          </w:p>
        </w:tc>
        <w:tc>
          <w:tcPr>
            <w:tcW w:w="1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80" w:type="dxa"/>
            <w:vAlign w:val="bottom"/>
          </w:tcPr>
          <w:p>
            <w:pPr>
              <w:jc w:val="center"/>
              <w:ind w:right="12"/>
              <w:spacing w:after="0"/>
              <w:rPr>
                <w:sz w:val="20"/>
                <w:szCs w:val="20"/>
                <w:color w:val="auto"/>
              </w:rPr>
            </w:pPr>
            <w:r>
              <w:rPr>
                <w:rFonts w:ascii="Arial" w:cs="Arial" w:eastAsia="Arial" w:hAnsi="Arial"/>
                <w:sz w:val="13"/>
                <w:szCs w:val="13"/>
                <w:b w:val="1"/>
                <w:bCs w:val="1"/>
                <w:color w:val="auto"/>
                <w:w w:val="99"/>
              </w:rPr>
              <w:t>Net Unrealized</w:t>
            </w: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vMerge w:val="restart"/>
          </w:tcPr>
          <w:p>
            <w:pPr>
              <w:jc w:val="center"/>
              <w:ind w:right="32"/>
              <w:spacing w:after="0"/>
              <w:rPr>
                <w:sz w:val="20"/>
                <w:szCs w:val="20"/>
                <w:color w:val="auto"/>
              </w:rPr>
            </w:pPr>
            <w:r>
              <w:rPr>
                <w:rFonts w:ascii="Arial" w:cs="Arial" w:eastAsia="Arial" w:hAnsi="Arial"/>
                <w:sz w:val="13"/>
                <w:szCs w:val="13"/>
                <w:b w:val="1"/>
                <w:bCs w:val="1"/>
                <w:color w:val="auto"/>
                <w:w w:val="96"/>
              </w:rPr>
              <w:t>Foreign</w:t>
            </w:r>
          </w:p>
        </w:tc>
        <w:tc>
          <w:tcPr>
            <w:tcW w:w="1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rPr>
              <w:t>Gains on</w:t>
            </w:r>
          </w:p>
        </w:tc>
        <w:tc>
          <w:tcPr>
            <w:tcW w:w="100" w:type="dxa"/>
            <w:vAlign w:val="bottom"/>
          </w:tcPr>
          <w:p>
            <w:pPr>
              <w:spacing w:after="0"/>
              <w:rPr>
                <w:sz w:val="11"/>
                <w:szCs w:val="11"/>
                <w:color w:val="auto"/>
              </w:rPr>
            </w:pPr>
          </w:p>
        </w:tc>
        <w:tc>
          <w:tcPr>
            <w:tcW w:w="1120" w:type="dxa"/>
            <w:vAlign w:val="bottom"/>
            <w:gridSpan w:val="2"/>
            <w:vMerge w:val="restart"/>
          </w:tcPr>
          <w:p>
            <w:pPr>
              <w:jc w:val="center"/>
              <w:spacing w:after="0"/>
              <w:rPr>
                <w:sz w:val="20"/>
                <w:szCs w:val="20"/>
                <w:color w:val="auto"/>
              </w:rPr>
            </w:pPr>
            <w:r>
              <w:rPr>
                <w:rFonts w:ascii="Arial" w:cs="Arial" w:eastAsia="Arial" w:hAnsi="Arial"/>
                <w:sz w:val="13"/>
                <w:szCs w:val="13"/>
                <w:b w:val="1"/>
                <w:bCs w:val="1"/>
                <w:color w:val="auto"/>
                <w:w w:val="98"/>
              </w:rPr>
              <w:t>Defined Benefit</w:t>
            </w: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vMerge w:val="continue"/>
          </w:tcPr>
          <w:p>
            <w:pPr>
              <w:spacing w:after="0"/>
              <w:rPr>
                <w:sz w:val="11"/>
                <w:szCs w:val="11"/>
                <w:color w:val="auto"/>
              </w:rPr>
            </w:pP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tcPr>
          <w:p>
            <w:pPr>
              <w:jc w:val="right"/>
              <w:ind w:right="32"/>
              <w:spacing w:after="0" w:line="129" w:lineRule="exact"/>
              <w:rPr>
                <w:sz w:val="20"/>
                <w:szCs w:val="20"/>
                <w:color w:val="auto"/>
              </w:rPr>
            </w:pPr>
            <w:r>
              <w:rPr>
                <w:rFonts w:ascii="Arial" w:cs="Arial" w:eastAsia="Arial" w:hAnsi="Arial"/>
                <w:sz w:val="13"/>
                <w:szCs w:val="13"/>
                <w:b w:val="1"/>
                <w:bCs w:val="1"/>
                <w:color w:val="auto"/>
                <w:w w:val="96"/>
              </w:rPr>
              <w:t>Gains (Losses)</w:t>
            </w: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jc w:val="center"/>
              <w:ind w:right="12"/>
              <w:spacing w:after="0" w:line="129" w:lineRule="exact"/>
              <w:rPr>
                <w:sz w:val="20"/>
                <w:szCs w:val="20"/>
                <w:color w:val="auto"/>
              </w:rPr>
            </w:pPr>
            <w:r>
              <w:rPr>
                <w:rFonts w:ascii="Arial" w:cs="Arial" w:eastAsia="Arial" w:hAnsi="Arial"/>
                <w:sz w:val="13"/>
                <w:szCs w:val="13"/>
                <w:b w:val="1"/>
                <w:bCs w:val="1"/>
                <w:color w:val="auto"/>
                <w:w w:val="98"/>
              </w:rPr>
              <w:t>Available-for-</w:t>
            </w:r>
          </w:p>
        </w:tc>
        <w:tc>
          <w:tcPr>
            <w:tcW w:w="100" w:type="dxa"/>
            <w:vAlign w:val="bottom"/>
          </w:tcPr>
          <w:p>
            <w:pPr>
              <w:spacing w:after="0"/>
              <w:rPr>
                <w:sz w:val="11"/>
                <w:szCs w:val="11"/>
                <w:color w:val="auto"/>
              </w:rPr>
            </w:pPr>
          </w:p>
        </w:tc>
        <w:tc>
          <w:tcPr>
            <w:tcW w:w="1120" w:type="dxa"/>
            <w:vAlign w:val="bottom"/>
            <w:gridSpan w:val="2"/>
            <w:vMerge w:val="continue"/>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tcPr>
          <w:p>
            <w:pPr>
              <w:jc w:val="center"/>
              <w:ind w:right="52"/>
              <w:spacing w:after="0" w:line="129" w:lineRule="exact"/>
              <w:rPr>
                <w:sz w:val="20"/>
                <w:szCs w:val="20"/>
                <w:color w:val="auto"/>
              </w:rPr>
            </w:pPr>
            <w:r>
              <w:rPr>
                <w:rFonts w:ascii="Arial" w:cs="Arial" w:eastAsia="Arial" w:hAnsi="Arial"/>
                <w:sz w:val="13"/>
                <w:szCs w:val="13"/>
                <w:b w:val="1"/>
                <w:bCs w:val="1"/>
                <w:color w:val="auto"/>
                <w:w w:val="98"/>
              </w:rPr>
              <w:t>Currency</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48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2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w w:val="97"/>
              </w:rPr>
              <w:t>on Derivative</w:t>
            </w: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rPr>
              <w:t>Sale Debt</w:t>
            </w: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00" w:type="dxa"/>
            <w:vAlign w:val="bottom"/>
          </w:tcPr>
          <w:p>
            <w:pPr>
              <w:jc w:val="center"/>
              <w:ind w:right="71"/>
              <w:spacing w:after="0" w:line="129" w:lineRule="exact"/>
              <w:rPr>
                <w:sz w:val="20"/>
                <w:szCs w:val="20"/>
                <w:color w:val="auto"/>
              </w:rPr>
            </w:pPr>
            <w:r>
              <w:rPr>
                <w:rFonts w:ascii="Arial" w:cs="Arial" w:eastAsia="Arial" w:hAnsi="Arial"/>
                <w:sz w:val="13"/>
                <w:szCs w:val="13"/>
                <w:b w:val="1"/>
                <w:bCs w:val="1"/>
                <w:color w:val="auto"/>
                <w:w w:val="98"/>
              </w:rPr>
              <w:t>Pension</w:t>
            </w: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60" w:type="dxa"/>
            <w:vAlign w:val="bottom"/>
          </w:tcPr>
          <w:p>
            <w:pPr>
              <w:jc w:val="center"/>
              <w:ind w:right="32"/>
              <w:spacing w:after="0" w:line="129" w:lineRule="exact"/>
              <w:rPr>
                <w:sz w:val="20"/>
                <w:szCs w:val="20"/>
                <w:color w:val="auto"/>
              </w:rPr>
            </w:pPr>
            <w:r>
              <w:rPr>
                <w:rFonts w:ascii="Arial" w:cs="Arial" w:eastAsia="Arial" w:hAnsi="Arial"/>
                <w:sz w:val="13"/>
                <w:szCs w:val="13"/>
                <w:b w:val="1"/>
                <w:bCs w:val="1"/>
                <w:color w:val="auto"/>
                <w:w w:val="99"/>
              </w:rPr>
              <w:t>Translation</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40" w:type="dxa"/>
            <w:vAlign w:val="bottom"/>
            <w:vMerge w:val="restart"/>
          </w:tcPr>
          <w:p>
            <w:pPr>
              <w:jc w:val="right"/>
              <w:ind w:right="251"/>
              <w:spacing w:after="0"/>
              <w:rPr>
                <w:sz w:val="20"/>
                <w:szCs w:val="20"/>
                <w:color w:val="auto"/>
              </w:rPr>
            </w:pPr>
            <w:r>
              <w:rPr>
                <w:rFonts w:ascii="Arial" w:cs="Arial" w:eastAsia="Arial" w:hAnsi="Arial"/>
                <w:sz w:val="13"/>
                <w:szCs w:val="13"/>
                <w:b w:val="1"/>
                <w:bCs w:val="1"/>
                <w:color w:val="auto"/>
              </w:rPr>
              <w:t>Total</w:t>
            </w:r>
          </w:p>
        </w:tc>
        <w:tc>
          <w:tcPr>
            <w:tcW w:w="0" w:type="dxa"/>
            <w:vAlign w:val="bottom"/>
          </w:tcPr>
          <w:p>
            <w:pPr>
              <w:spacing w:after="0"/>
              <w:rPr>
                <w:sz w:val="1"/>
                <w:szCs w:val="1"/>
                <w:color w:val="auto"/>
              </w:rPr>
            </w:pPr>
          </w:p>
        </w:tc>
      </w:tr>
      <w:tr>
        <w:trPr>
          <w:trHeight w:val="176"/>
        </w:trPr>
        <w:tc>
          <w:tcPr>
            <w:tcW w:w="482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w w:val="96"/>
              </w:rPr>
              <w:t>Instruments</w:t>
            </w:r>
          </w:p>
        </w:tc>
        <w:tc>
          <w:tcPr>
            <w:tcW w:w="100" w:type="dxa"/>
            <w:vAlign w:val="bottom"/>
            <w:tcBorders>
              <w:bottom w:val="single" w:sz="8" w:color="CCEEFF"/>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98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w w:val="96"/>
              </w:rPr>
              <w:t>Securities</w:t>
            </w:r>
          </w:p>
        </w:tc>
        <w:tc>
          <w:tcPr>
            <w:tcW w:w="10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tcPr>
          <w:p>
            <w:pPr>
              <w:jc w:val="center"/>
              <w:ind w:right="51"/>
              <w:spacing w:after="0"/>
              <w:rPr>
                <w:sz w:val="20"/>
                <w:szCs w:val="20"/>
                <w:color w:val="auto"/>
              </w:rPr>
            </w:pPr>
            <w:r>
              <w:rPr>
                <w:rFonts w:ascii="Arial" w:cs="Arial" w:eastAsia="Arial" w:hAnsi="Arial"/>
                <w:sz w:val="13"/>
                <w:szCs w:val="13"/>
                <w:b w:val="1"/>
                <w:bCs w:val="1"/>
                <w:color w:val="auto"/>
              </w:rPr>
              <w:t>Components</w:t>
            </w:r>
          </w:p>
        </w:tc>
        <w:tc>
          <w:tcPr>
            <w:tcW w:w="8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w w:val="99"/>
              </w:rPr>
              <w:t>Adjustments</w:t>
            </w:r>
          </w:p>
        </w:tc>
        <w:tc>
          <w:tcPr>
            <w:tcW w:w="100" w:type="dxa"/>
            <w:vAlign w:val="bottom"/>
            <w:tcBorders>
              <w:bottom w:val="single" w:sz="8" w:color="CCEEFF"/>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740" w:type="dxa"/>
            <w:vAlign w:val="bottom"/>
            <w:tcBorders>
              <w:bottom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4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Balances, January 31, 2022</w:t>
            </w:r>
          </w:p>
        </w:tc>
        <w:tc>
          <w:tcPr>
            <w:tcW w:w="10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1020" w:type="dxa"/>
            <w:vAlign w:val="bottom"/>
            <w:shd w:val="clear" w:color="auto" w:fill="CCEEFF"/>
          </w:tcPr>
          <w:p>
            <w:pPr>
              <w:jc w:val="right"/>
              <w:ind w:right="32"/>
              <w:spacing w:after="0"/>
              <w:rPr>
                <w:sz w:val="20"/>
                <w:szCs w:val="20"/>
                <w:color w:val="auto"/>
              </w:rPr>
            </w:pPr>
            <w:r>
              <w:rPr>
                <w:rFonts w:ascii="Arial" w:cs="Arial" w:eastAsia="Arial" w:hAnsi="Arial"/>
                <w:sz w:val="14"/>
                <w:szCs w:val="14"/>
                <w:color w:val="auto"/>
              </w:rPr>
              <w:t>24</w:t>
            </w:r>
          </w:p>
        </w:tc>
        <w:tc>
          <w:tcPr>
            <w:tcW w:w="20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ind w:left="720"/>
              <w:spacing w:after="0"/>
              <w:rPr>
                <w:sz w:val="20"/>
                <w:szCs w:val="20"/>
                <w:color w:val="auto"/>
              </w:rPr>
            </w:pPr>
            <w:r>
              <w:rPr>
                <w:rFonts w:ascii="Arial" w:cs="Arial" w:eastAsia="Arial" w:hAnsi="Arial"/>
                <w:sz w:val="14"/>
                <w:szCs w:val="14"/>
                <w:color w:val="auto"/>
              </w:rPr>
              <w:t>18</w:t>
            </w:r>
          </w:p>
        </w:tc>
        <w:tc>
          <w:tcPr>
            <w:tcW w:w="22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ind w:left="680"/>
              <w:spacing w:after="0"/>
              <w:rPr>
                <w:sz w:val="20"/>
                <w:szCs w:val="20"/>
                <w:color w:val="auto"/>
              </w:rPr>
            </w:pPr>
            <w:r>
              <w:rPr>
                <w:rFonts w:ascii="Arial" w:cs="Arial" w:eastAsia="Arial" w:hAnsi="Arial"/>
                <w:sz w:val="14"/>
                <w:szCs w:val="14"/>
                <w:color w:val="auto"/>
              </w:rPr>
              <w:t>(16)</w:t>
            </w:r>
          </w:p>
        </w:tc>
        <w:tc>
          <w:tcPr>
            <w:tcW w:w="20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(150)</w:t>
            </w:r>
          </w:p>
        </w:tc>
        <w:tc>
          <w:tcPr>
            <w:tcW w:w="300" w:type="dxa"/>
            <w:vAlign w:val="bottom"/>
            <w:gridSpan w:val="2"/>
            <w:shd w:val="clear" w:color="auto" w:fill="CCEEFF"/>
          </w:tcPr>
          <w:p>
            <w:pPr>
              <w:jc w:val="right"/>
              <w:ind w:right="120"/>
              <w:spacing w:after="0"/>
              <w:rPr>
                <w:sz w:val="20"/>
                <w:szCs w:val="20"/>
                <w:color w:val="auto"/>
              </w:rPr>
            </w:pPr>
            <w:r>
              <w:rPr>
                <w:rFonts w:ascii="Arial" w:cs="Arial" w:eastAsia="Arial" w:hAnsi="Arial"/>
                <w:sz w:val="14"/>
                <w:szCs w:val="14"/>
                <w:color w:val="auto"/>
              </w:rPr>
              <w:t>$</w:t>
            </w:r>
          </w:p>
        </w:tc>
        <w:tc>
          <w:tcPr>
            <w:tcW w:w="7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(124)</w:t>
            </w:r>
          </w:p>
        </w:tc>
        <w:tc>
          <w:tcPr>
            <w:tcW w:w="0" w:type="dxa"/>
            <w:vAlign w:val="bottom"/>
          </w:tcPr>
          <w:p>
            <w:pPr>
              <w:spacing w:after="0"/>
              <w:rPr>
                <w:sz w:val="1"/>
                <w:szCs w:val="1"/>
                <w:color w:val="auto"/>
              </w:rPr>
            </w:pPr>
          </w:p>
        </w:tc>
      </w:tr>
      <w:tr>
        <w:trPr>
          <w:trHeight w:val="185"/>
        </w:trPr>
        <w:tc>
          <w:tcPr>
            <w:tcW w:w="4820" w:type="dxa"/>
            <w:vAlign w:val="bottom"/>
          </w:tcPr>
          <w:p>
            <w:pPr>
              <w:ind w:left="20"/>
              <w:spacing w:after="0"/>
              <w:rPr>
                <w:sz w:val="20"/>
                <w:szCs w:val="20"/>
                <w:color w:val="auto"/>
              </w:rPr>
            </w:pPr>
            <w:r>
              <w:rPr>
                <w:rFonts w:ascii="Arial" w:cs="Arial" w:eastAsia="Arial" w:hAnsi="Arial"/>
                <w:sz w:val="14"/>
                <w:szCs w:val="14"/>
                <w:color w:val="auto"/>
              </w:rPr>
              <w:t>Other comprehensive income (loss) before reclassifications</w:t>
            </w:r>
          </w:p>
        </w:tc>
        <w:tc>
          <w:tcPr>
            <w:tcW w:w="100" w:type="dxa"/>
            <w:vAlign w:val="bottom"/>
          </w:tcPr>
          <w:p>
            <w:pPr>
              <w:spacing w:after="0"/>
              <w:rPr>
                <w:sz w:val="16"/>
                <w:szCs w:val="16"/>
                <w:color w:val="auto"/>
              </w:rPr>
            </w:pPr>
          </w:p>
        </w:tc>
        <w:tc>
          <w:tcPr>
            <w:tcW w:w="1020" w:type="dxa"/>
            <w:vAlign w:val="bottom"/>
          </w:tcPr>
          <w:p>
            <w:pPr>
              <w:jc w:val="right"/>
              <w:ind w:right="32"/>
              <w:spacing w:after="0"/>
              <w:rPr>
                <w:sz w:val="20"/>
                <w:szCs w:val="20"/>
                <w:color w:val="auto"/>
              </w:rPr>
            </w:pPr>
            <w:r>
              <w:rPr>
                <w:rFonts w:ascii="Arial" w:cs="Arial" w:eastAsia="Arial" w:hAnsi="Arial"/>
                <w:sz w:val="14"/>
                <w:szCs w:val="14"/>
                <w:color w:val="auto"/>
              </w:rPr>
              <w:t>65</w:t>
            </w:r>
          </w:p>
        </w:tc>
        <w:tc>
          <w:tcPr>
            <w:tcW w:w="1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80" w:type="dxa"/>
            <w:vAlign w:val="bottom"/>
          </w:tcPr>
          <w:p>
            <w:pPr>
              <w:ind w:left="760"/>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0" w:type="dxa"/>
            <w:vAlign w:val="bottom"/>
          </w:tcPr>
          <w:p>
            <w:pPr>
              <w:ind w:left="760"/>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60" w:type="dxa"/>
            <w:vAlign w:val="bottom"/>
          </w:tcPr>
          <w:p>
            <w:pPr>
              <w:jc w:val="right"/>
              <w:spacing w:after="0"/>
              <w:rPr>
                <w:sz w:val="20"/>
                <w:szCs w:val="20"/>
                <w:color w:val="auto"/>
              </w:rPr>
            </w:pPr>
            <w:r>
              <w:rPr>
                <w:rFonts w:ascii="Arial" w:cs="Arial" w:eastAsia="Arial" w:hAnsi="Arial"/>
                <w:sz w:val="14"/>
                <w:szCs w:val="14"/>
                <w:color w:val="auto"/>
              </w:rPr>
              <w:t>(75)</w:t>
            </w: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40" w:type="dxa"/>
            <w:vAlign w:val="bottom"/>
          </w:tcPr>
          <w:p>
            <w:pPr>
              <w:jc w:val="right"/>
              <w:spacing w:after="0"/>
              <w:rPr>
                <w:sz w:val="20"/>
                <w:szCs w:val="20"/>
                <w:color w:val="auto"/>
              </w:rPr>
            </w:pPr>
            <w:r>
              <w:rPr>
                <w:rFonts w:ascii="Arial" w:cs="Arial" w:eastAsia="Arial" w:hAnsi="Arial"/>
                <w:sz w:val="14"/>
                <w:szCs w:val="14"/>
                <w:color w:val="auto"/>
              </w:rPr>
              <w:t>(11)</w:t>
            </w:r>
          </w:p>
        </w:tc>
        <w:tc>
          <w:tcPr>
            <w:tcW w:w="0" w:type="dxa"/>
            <w:vAlign w:val="bottom"/>
          </w:tcPr>
          <w:p>
            <w:pPr>
              <w:spacing w:after="0"/>
              <w:rPr>
                <w:sz w:val="1"/>
                <w:szCs w:val="1"/>
                <w:color w:val="auto"/>
              </w:rPr>
            </w:pPr>
          </w:p>
        </w:tc>
      </w:tr>
      <w:tr>
        <w:trPr>
          <w:trHeight w:val="190"/>
        </w:trPr>
        <w:tc>
          <w:tcPr>
            <w:tcW w:w="4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Pre-tax gains reclassified from accumulated other comprehensive loss</w:t>
            </w:r>
          </w:p>
        </w:tc>
        <w:tc>
          <w:tcPr>
            <w:tcW w:w="100" w:type="dxa"/>
            <w:vAlign w:val="bottom"/>
            <w:shd w:val="clear" w:color="auto" w:fill="CCEEFF"/>
          </w:tcPr>
          <w:p>
            <w:pPr>
              <w:spacing w:after="0"/>
              <w:rPr>
                <w:sz w:val="16"/>
                <w:szCs w:val="16"/>
                <w:color w:val="auto"/>
              </w:rPr>
            </w:pPr>
          </w:p>
        </w:tc>
        <w:tc>
          <w:tcPr>
            <w:tcW w:w="10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1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80" w:type="dxa"/>
            <w:vAlign w:val="bottom"/>
            <w:shd w:val="clear" w:color="auto" w:fill="CCEEFF"/>
          </w:tcPr>
          <w:p>
            <w:pPr>
              <w:ind w:left="76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000" w:type="dxa"/>
            <w:vAlign w:val="bottom"/>
            <w:shd w:val="clear" w:color="auto" w:fill="CCEEFF"/>
          </w:tcPr>
          <w:p>
            <w:pPr>
              <w:ind w:left="760"/>
              <w:spacing w:after="0"/>
              <w:rPr>
                <w:sz w:val="20"/>
                <w:szCs w:val="20"/>
                <w:color w:val="auto"/>
              </w:rPr>
            </w:pPr>
            <w:r>
              <w:rPr>
                <w:rFonts w:ascii="Arial" w:cs="Arial" w:eastAsia="Arial" w:hAnsi="Arial"/>
                <w:sz w:val="14"/>
                <w:szCs w:val="14"/>
                <w:color w:val="auto"/>
              </w:rPr>
              <w:t>(3)</w:t>
            </w: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96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200" w:type="dxa"/>
            <w:vAlign w:val="bottom"/>
            <w:shd w:val="clear" w:color="auto" w:fill="CCEEFF"/>
          </w:tcPr>
          <w:p>
            <w:pPr>
              <w:spacing w:after="0"/>
              <w:rPr>
                <w:sz w:val="16"/>
                <w:szCs w:val="16"/>
                <w:color w:val="auto"/>
              </w:rPr>
            </w:pPr>
          </w:p>
        </w:tc>
        <w:tc>
          <w:tcPr>
            <w:tcW w:w="7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w:t>
            </w:r>
          </w:p>
        </w:tc>
        <w:tc>
          <w:tcPr>
            <w:tcW w:w="0" w:type="dxa"/>
            <w:vAlign w:val="bottom"/>
          </w:tcPr>
          <w:p>
            <w:pPr>
              <w:spacing w:after="0"/>
              <w:rPr>
                <w:sz w:val="1"/>
                <w:szCs w:val="1"/>
                <w:color w:val="auto"/>
              </w:rPr>
            </w:pPr>
          </w:p>
        </w:tc>
      </w:tr>
      <w:tr>
        <w:trPr>
          <w:trHeight w:val="185"/>
        </w:trPr>
        <w:tc>
          <w:tcPr>
            <w:tcW w:w="4820" w:type="dxa"/>
            <w:vAlign w:val="bottom"/>
            <w:tcBorders>
              <w:bottom w:val="single" w:sz="8" w:color="CCEEFF"/>
            </w:tcBorders>
          </w:tcPr>
          <w:p>
            <w:pPr>
              <w:ind w:left="20"/>
              <w:spacing w:after="0"/>
              <w:rPr>
                <w:sz w:val="20"/>
                <w:szCs w:val="20"/>
                <w:color w:val="auto"/>
              </w:rPr>
            </w:pPr>
            <w:r>
              <w:rPr>
                <w:rFonts w:ascii="Arial" w:cs="Arial" w:eastAsia="Arial" w:hAnsi="Arial"/>
                <w:sz w:val="14"/>
                <w:szCs w:val="14"/>
                <w:color w:val="auto"/>
              </w:rPr>
              <w:t>Tax effects</w:t>
            </w:r>
          </w:p>
        </w:tc>
        <w:tc>
          <w:tcPr>
            <w:tcW w:w="100" w:type="dxa"/>
            <w:vAlign w:val="bottom"/>
            <w:tcBorders>
              <w:bottom w:val="single" w:sz="8" w:color="auto"/>
            </w:tcBorders>
          </w:tcPr>
          <w:p>
            <w:pPr>
              <w:spacing w:after="0"/>
              <w:rPr>
                <w:sz w:val="16"/>
                <w:szCs w:val="16"/>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w:t>
            </w:r>
          </w:p>
        </w:tc>
        <w:tc>
          <w:tcPr>
            <w:tcW w:w="100" w:type="dxa"/>
            <w:vAlign w:val="bottom"/>
            <w:tcBorders>
              <w:bottom w:val="single" w:sz="8" w:color="CCEEFF"/>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ind w:left="760"/>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ind w:left="760"/>
              <w:spacing w:after="0"/>
              <w:rPr>
                <w:sz w:val="20"/>
                <w:szCs w:val="20"/>
                <w:color w:val="auto"/>
              </w:rPr>
            </w:pPr>
            <w:r>
              <w:rPr>
                <w:rFonts w:ascii="Arial" w:cs="Arial" w:eastAsia="Arial" w:hAnsi="Arial"/>
                <w:sz w:val="14"/>
                <w:szCs w:val="14"/>
                <w:color w:val="auto"/>
              </w:rPr>
              <w:t>—</w:t>
            </w:r>
          </w:p>
        </w:tc>
        <w:tc>
          <w:tcPr>
            <w:tcW w:w="80" w:type="dxa"/>
            <w:vAlign w:val="bottom"/>
            <w:tcBorders>
              <w:bottom w:val="single" w:sz="8" w:color="CCEEFF"/>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960" w:type="dxa"/>
            <w:vAlign w:val="bottom"/>
            <w:tcBorders>
              <w:bottom w:val="single" w:sz="8" w:color="auto"/>
            </w:tcBorders>
          </w:tcPr>
          <w:p>
            <w:pPr>
              <w:jc w:val="right"/>
              <w:ind w:right="12"/>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w:t>
            </w:r>
          </w:p>
        </w:tc>
        <w:tc>
          <w:tcPr>
            <w:tcW w:w="0" w:type="dxa"/>
            <w:vAlign w:val="bottom"/>
          </w:tcPr>
          <w:p>
            <w:pPr>
              <w:spacing w:after="0"/>
              <w:rPr>
                <w:sz w:val="1"/>
                <w:szCs w:val="1"/>
                <w:color w:val="auto"/>
              </w:rPr>
            </w:pPr>
          </w:p>
        </w:tc>
      </w:tr>
      <w:tr>
        <w:trPr>
          <w:trHeight w:val="179"/>
        </w:trPr>
        <w:tc>
          <w:tcPr>
            <w:tcW w:w="482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current period other comprehensive income (loss)</w:t>
            </w:r>
          </w:p>
        </w:tc>
        <w:tc>
          <w:tcPr>
            <w:tcW w:w="100" w:type="dxa"/>
            <w:vAlign w:val="bottom"/>
            <w:tcBorders>
              <w:bottom w:val="single" w:sz="8" w:color="auto"/>
            </w:tcBorders>
            <w:shd w:val="clear" w:color="auto" w:fill="CCEEFF"/>
          </w:tcPr>
          <w:p>
            <w:pPr>
              <w:spacing w:after="0"/>
              <w:rPr>
                <w:sz w:val="15"/>
                <w:szCs w:val="15"/>
                <w:color w:val="auto"/>
              </w:rPr>
            </w:pPr>
          </w:p>
        </w:tc>
        <w:tc>
          <w:tcPr>
            <w:tcW w:w="1020" w:type="dxa"/>
            <w:vAlign w:val="bottom"/>
            <w:tcBorders>
              <w:bottom w:val="single" w:sz="8" w:color="auto"/>
            </w:tcBorders>
            <w:shd w:val="clear" w:color="auto" w:fill="CCEEFF"/>
          </w:tcPr>
          <w:p>
            <w:pPr>
              <w:jc w:val="right"/>
              <w:ind w:right="32"/>
              <w:spacing w:after="0"/>
              <w:rPr>
                <w:sz w:val="20"/>
                <w:szCs w:val="20"/>
                <w:color w:val="auto"/>
              </w:rPr>
            </w:pPr>
            <w:r>
              <w:rPr>
                <w:rFonts w:ascii="Arial" w:cs="Arial" w:eastAsia="Arial" w:hAnsi="Arial"/>
                <w:sz w:val="14"/>
                <w:szCs w:val="14"/>
                <w:color w:val="auto"/>
              </w:rPr>
              <w:t>55</w:t>
            </w:r>
          </w:p>
        </w:tc>
        <w:tc>
          <w:tcPr>
            <w:tcW w:w="100" w:type="dxa"/>
            <w:vAlign w:val="bottom"/>
            <w:shd w:val="clear" w:color="auto" w:fill="CCEEFF"/>
          </w:tcPr>
          <w:p>
            <w:pPr>
              <w:spacing w:after="0"/>
              <w:rPr>
                <w:sz w:val="15"/>
                <w:szCs w:val="15"/>
                <w:color w:val="auto"/>
              </w:rPr>
            </w:pPr>
          </w:p>
        </w:tc>
        <w:tc>
          <w:tcPr>
            <w:tcW w:w="100" w:type="dxa"/>
            <w:vAlign w:val="bottom"/>
            <w:tcBorders>
              <w:bottom w:val="single" w:sz="8" w:color="auto"/>
            </w:tcBorders>
            <w:shd w:val="clear" w:color="auto" w:fill="CCEEFF"/>
          </w:tcPr>
          <w:p>
            <w:pPr>
              <w:spacing w:after="0"/>
              <w:rPr>
                <w:sz w:val="15"/>
                <w:szCs w:val="15"/>
                <w:color w:val="auto"/>
              </w:rPr>
            </w:pPr>
          </w:p>
        </w:tc>
        <w:tc>
          <w:tcPr>
            <w:tcW w:w="980" w:type="dxa"/>
            <w:vAlign w:val="bottom"/>
            <w:tcBorders>
              <w:bottom w:val="single" w:sz="8" w:color="auto"/>
            </w:tcBorders>
            <w:shd w:val="clear" w:color="auto" w:fill="CCEEFF"/>
          </w:tcPr>
          <w:p>
            <w:pPr>
              <w:ind w:left="760"/>
              <w:spacing w:after="0"/>
              <w:rPr>
                <w:sz w:val="20"/>
                <w:szCs w:val="20"/>
                <w:color w:val="auto"/>
              </w:rPr>
            </w:pPr>
            <w:r>
              <w:rPr>
                <w:rFonts w:ascii="Arial" w:cs="Arial" w:eastAsia="Arial" w:hAnsi="Arial"/>
                <w:sz w:val="14"/>
                <w:szCs w:val="14"/>
                <w:color w:val="auto"/>
              </w:rPr>
              <w:t>(1)</w:t>
            </w:r>
          </w:p>
        </w:tc>
        <w:tc>
          <w:tcPr>
            <w:tcW w:w="100" w:type="dxa"/>
            <w:vAlign w:val="bottom"/>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spacing w:after="0"/>
              <w:rPr>
                <w:sz w:val="15"/>
                <w:szCs w:val="15"/>
                <w:color w:val="auto"/>
              </w:rPr>
            </w:pPr>
          </w:p>
        </w:tc>
        <w:tc>
          <w:tcPr>
            <w:tcW w:w="1000" w:type="dxa"/>
            <w:vAlign w:val="bottom"/>
            <w:tcBorders>
              <w:bottom w:val="single" w:sz="8" w:color="auto"/>
            </w:tcBorders>
            <w:shd w:val="clear" w:color="auto" w:fill="CCEEFF"/>
          </w:tcPr>
          <w:p>
            <w:pPr>
              <w:ind w:left="760"/>
              <w:spacing w:after="0"/>
              <w:rPr>
                <w:sz w:val="20"/>
                <w:szCs w:val="20"/>
                <w:color w:val="auto"/>
              </w:rPr>
            </w:pPr>
            <w:r>
              <w:rPr>
                <w:rFonts w:ascii="Arial" w:cs="Arial" w:eastAsia="Arial" w:hAnsi="Arial"/>
                <w:sz w:val="14"/>
                <w:szCs w:val="14"/>
                <w:color w:val="auto"/>
              </w:rPr>
              <w:t>(3)</w:t>
            </w:r>
          </w:p>
        </w:tc>
        <w:tc>
          <w:tcPr>
            <w:tcW w:w="80" w:type="dxa"/>
            <w:vAlign w:val="bottom"/>
            <w:shd w:val="clear" w:color="auto" w:fill="CCEEFF"/>
          </w:tcPr>
          <w:p>
            <w:pPr>
              <w:spacing w:after="0"/>
              <w:rPr>
                <w:sz w:val="15"/>
                <w:szCs w:val="15"/>
                <w:color w:val="auto"/>
              </w:rPr>
            </w:pPr>
          </w:p>
        </w:tc>
        <w:tc>
          <w:tcPr>
            <w:tcW w:w="120" w:type="dxa"/>
            <w:vAlign w:val="bottom"/>
            <w:tcBorders>
              <w:bottom w:val="single" w:sz="8" w:color="auto"/>
            </w:tcBorders>
            <w:shd w:val="clear" w:color="auto" w:fill="CCEEFF"/>
          </w:tcPr>
          <w:p>
            <w:pPr>
              <w:spacing w:after="0"/>
              <w:rPr>
                <w:sz w:val="15"/>
                <w:szCs w:val="15"/>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(75)</w:t>
            </w:r>
          </w:p>
        </w:tc>
        <w:tc>
          <w:tcPr>
            <w:tcW w:w="100" w:type="dxa"/>
            <w:vAlign w:val="bottom"/>
            <w:shd w:val="clear" w:color="auto" w:fill="CCEEFF"/>
          </w:tcPr>
          <w:p>
            <w:pPr>
              <w:spacing w:after="0"/>
              <w:rPr>
                <w:sz w:val="15"/>
                <w:szCs w:val="15"/>
                <w:color w:val="auto"/>
              </w:rPr>
            </w:pPr>
          </w:p>
        </w:tc>
        <w:tc>
          <w:tcPr>
            <w:tcW w:w="200" w:type="dxa"/>
            <w:vAlign w:val="bottom"/>
            <w:tcBorders>
              <w:bottom w:val="single" w:sz="8" w:color="auto"/>
            </w:tcBorders>
            <w:shd w:val="clear" w:color="auto" w:fill="CCEEFF"/>
          </w:tcPr>
          <w:p>
            <w:pPr>
              <w:spacing w:after="0"/>
              <w:rPr>
                <w:sz w:val="15"/>
                <w:szCs w:val="15"/>
                <w:color w:val="auto"/>
              </w:rPr>
            </w:pPr>
          </w:p>
        </w:tc>
        <w:tc>
          <w:tcPr>
            <w:tcW w:w="7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(24)</w:t>
            </w:r>
          </w:p>
        </w:tc>
        <w:tc>
          <w:tcPr>
            <w:tcW w:w="0" w:type="dxa"/>
            <w:vAlign w:val="bottom"/>
          </w:tcPr>
          <w:p>
            <w:pPr>
              <w:spacing w:after="0"/>
              <w:rPr>
                <w:sz w:val="1"/>
                <w:szCs w:val="1"/>
                <w:color w:val="auto"/>
              </w:rPr>
            </w:pPr>
          </w:p>
        </w:tc>
      </w:tr>
      <w:tr>
        <w:trPr>
          <w:trHeight w:val="182"/>
        </w:trPr>
        <w:tc>
          <w:tcPr>
            <w:tcW w:w="4820" w:type="dxa"/>
            <w:vAlign w:val="bottom"/>
          </w:tcPr>
          <w:p>
            <w:pPr>
              <w:ind w:left="20"/>
              <w:spacing w:after="0"/>
              <w:rPr>
                <w:sz w:val="20"/>
                <w:szCs w:val="20"/>
                <w:color w:val="auto"/>
              </w:rPr>
            </w:pPr>
            <w:r>
              <w:rPr>
                <w:rFonts w:ascii="Arial" w:cs="Arial" w:eastAsia="Arial" w:hAnsi="Arial"/>
                <w:sz w:val="14"/>
                <w:szCs w:val="14"/>
                <w:color w:val="auto"/>
              </w:rPr>
              <w:t>Balances, April 30, 2022</w:t>
            </w:r>
          </w:p>
        </w:tc>
        <w:tc>
          <w:tcPr>
            <w:tcW w:w="100" w:type="dxa"/>
            <w:vAlign w:val="bottom"/>
          </w:tcPr>
          <w:p>
            <w:pPr>
              <w:jc w:val="right"/>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32"/>
              <w:spacing w:after="0"/>
              <w:rPr>
                <w:sz w:val="20"/>
                <w:szCs w:val="20"/>
                <w:color w:val="auto"/>
              </w:rPr>
            </w:pPr>
            <w:r>
              <w:rPr>
                <w:rFonts w:ascii="Arial" w:cs="Arial" w:eastAsia="Arial" w:hAnsi="Arial"/>
                <w:sz w:val="14"/>
                <w:szCs w:val="14"/>
                <w:color w:val="auto"/>
              </w:rPr>
              <w:t>79</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980" w:type="dxa"/>
            <w:vAlign w:val="bottom"/>
          </w:tcPr>
          <w:p>
            <w:pPr>
              <w:ind w:left="720"/>
              <w:spacing w:after="0"/>
              <w:rPr>
                <w:sz w:val="20"/>
                <w:szCs w:val="20"/>
                <w:color w:val="auto"/>
              </w:rPr>
            </w:pPr>
            <w:r>
              <w:rPr>
                <w:rFonts w:ascii="Arial" w:cs="Arial" w:eastAsia="Arial" w:hAnsi="Arial"/>
                <w:sz w:val="14"/>
                <w:szCs w:val="14"/>
                <w:color w:val="auto"/>
              </w:rPr>
              <w:t>17</w:t>
            </w:r>
          </w:p>
        </w:tc>
        <w:tc>
          <w:tcPr>
            <w:tcW w:w="220" w:type="dxa"/>
            <w:vAlign w:val="bottom"/>
            <w:gridSpan w:val="2"/>
          </w:tcPr>
          <w:p>
            <w:pPr>
              <w:jc w:val="right"/>
              <w:spacing w:after="0"/>
              <w:rPr>
                <w:sz w:val="20"/>
                <w:szCs w:val="20"/>
                <w:color w:val="auto"/>
              </w:rPr>
            </w:pPr>
            <w:r>
              <w:rPr>
                <w:rFonts w:ascii="Arial" w:cs="Arial" w:eastAsia="Arial" w:hAnsi="Arial"/>
                <w:sz w:val="14"/>
                <w:szCs w:val="14"/>
                <w:color w:val="auto"/>
              </w:rPr>
              <w:t>$</w:t>
            </w:r>
          </w:p>
        </w:tc>
        <w:tc>
          <w:tcPr>
            <w:tcW w:w="1000" w:type="dxa"/>
            <w:vAlign w:val="bottom"/>
          </w:tcPr>
          <w:p>
            <w:pPr>
              <w:ind w:left="680"/>
              <w:spacing w:after="0"/>
              <w:rPr>
                <w:sz w:val="20"/>
                <w:szCs w:val="20"/>
                <w:color w:val="auto"/>
              </w:rPr>
            </w:pPr>
            <w:r>
              <w:rPr>
                <w:rFonts w:ascii="Arial" w:cs="Arial" w:eastAsia="Arial" w:hAnsi="Arial"/>
                <w:sz w:val="14"/>
                <w:szCs w:val="14"/>
                <w:color w:val="auto"/>
              </w:rPr>
              <w:t>(19)</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960" w:type="dxa"/>
            <w:vAlign w:val="bottom"/>
          </w:tcPr>
          <w:p>
            <w:pPr>
              <w:jc w:val="right"/>
              <w:spacing w:after="0"/>
              <w:rPr>
                <w:sz w:val="20"/>
                <w:szCs w:val="20"/>
                <w:color w:val="auto"/>
              </w:rPr>
            </w:pPr>
            <w:r>
              <w:rPr>
                <w:rFonts w:ascii="Arial" w:cs="Arial" w:eastAsia="Arial" w:hAnsi="Arial"/>
                <w:sz w:val="14"/>
                <w:szCs w:val="14"/>
                <w:color w:val="auto"/>
              </w:rPr>
              <w:t>(225)</w:t>
            </w:r>
          </w:p>
        </w:tc>
        <w:tc>
          <w:tcPr>
            <w:tcW w:w="300" w:type="dxa"/>
            <w:vAlign w:val="bottom"/>
            <w:gridSpan w:val="2"/>
          </w:tcPr>
          <w:p>
            <w:pPr>
              <w:jc w:val="right"/>
              <w:ind w:right="120"/>
              <w:spacing w:after="0"/>
              <w:rPr>
                <w:sz w:val="20"/>
                <w:szCs w:val="20"/>
                <w:color w:val="auto"/>
              </w:rPr>
            </w:pPr>
            <w:r>
              <w:rPr>
                <w:rFonts w:ascii="Arial" w:cs="Arial" w:eastAsia="Arial" w:hAnsi="Arial"/>
                <w:sz w:val="14"/>
                <w:szCs w:val="14"/>
                <w:color w:val="auto"/>
              </w:rPr>
              <w:t>$</w:t>
            </w:r>
          </w:p>
        </w:tc>
        <w:tc>
          <w:tcPr>
            <w:tcW w:w="740" w:type="dxa"/>
            <w:vAlign w:val="bottom"/>
          </w:tcPr>
          <w:p>
            <w:pPr>
              <w:jc w:val="right"/>
              <w:spacing w:after="0"/>
              <w:rPr>
                <w:sz w:val="20"/>
                <w:szCs w:val="20"/>
                <w:color w:val="auto"/>
              </w:rPr>
            </w:pPr>
            <w:r>
              <w:rPr>
                <w:rFonts w:ascii="Arial" w:cs="Arial" w:eastAsia="Arial" w:hAnsi="Arial"/>
                <w:sz w:val="14"/>
                <w:szCs w:val="14"/>
                <w:color w:val="auto"/>
              </w:rPr>
              <w:t>(148)</w:t>
            </w:r>
          </w:p>
        </w:tc>
        <w:tc>
          <w:tcPr>
            <w:tcW w:w="0" w:type="dxa"/>
            <w:vAlign w:val="bottom"/>
          </w:tcPr>
          <w:p>
            <w:pPr>
              <w:spacing w:after="0"/>
              <w:rPr>
                <w:sz w:val="1"/>
                <w:szCs w:val="1"/>
                <w:color w:val="auto"/>
              </w:rPr>
            </w:pPr>
          </w:p>
        </w:tc>
      </w:tr>
      <w:tr>
        <w:trPr>
          <w:trHeight w:val="20"/>
        </w:trPr>
        <w:tc>
          <w:tcPr>
            <w:tcW w:w="482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0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jc w:val="both"/>
        <w:ind w:right="240" w:firstLine="351"/>
        <w:spacing w:after="0" w:line="257" w:lineRule="auto"/>
        <w:rPr>
          <w:sz w:val="20"/>
          <w:szCs w:val="20"/>
          <w:color w:val="auto"/>
        </w:rPr>
      </w:pPr>
      <w:r>
        <w:rPr>
          <w:rFonts w:ascii="Arial" w:cs="Arial" w:eastAsia="Arial" w:hAnsi="Arial"/>
          <w:sz w:val="15"/>
          <w:szCs w:val="15"/>
          <w:color w:val="auto"/>
        </w:rPr>
        <w:t>Reclassifications related to gains and losses on available -for-sale debt securities are included in “Interest and other income (expense), net.” Refer to Note 15, “Derivative Instruments,” for the amount and location of reclassifications related to derivative instruments. Reclassifications of the defined benefit pension components of net periodic benefit cost are included in “Interest and other income (expense), net.”</w:t>
      </w: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22" w:right="680" w:bottom="1440" w:gutter="0" w:footer="0" w:header="0"/>
        </w:sectPr>
      </w:pPr>
    </w:p>
    <w:bookmarkStart w:id="28" w:name="page29"/>
    <w:bookmarkEnd w:id="28"/>
    <w:p>
      <w:pPr>
        <w:ind w:left="40"/>
        <w:spacing w:after="0"/>
        <w:rPr>
          <w:sz w:val="20"/>
          <w:szCs w:val="20"/>
          <w:color w:val="auto"/>
        </w:rPr>
      </w:pPr>
      <w:r>
        <w:rPr>
          <w:rFonts w:ascii="Arial" w:cs="Arial" w:eastAsia="Arial" w:hAnsi="Arial"/>
          <w:sz w:val="15"/>
          <w:szCs w:val="15"/>
          <w:b w:val="1"/>
          <w:bCs w:val="1"/>
          <w:i w:val="1"/>
          <w:iCs w:val="1"/>
          <w:color w:val="auto"/>
        </w:rPr>
        <w:t>19</w:t>
      </w:r>
      <w:r>
        <w:rPr>
          <w:rFonts w:ascii="Arial" w:cs="Arial" w:eastAsia="Arial" w:hAnsi="Arial"/>
          <w:sz w:val="15"/>
          <w:szCs w:val="15"/>
          <w:color w:val="auto"/>
        </w:rPr>
        <w:t>.</w:t>
      </w:r>
      <w:r>
        <w:rPr>
          <w:rFonts w:ascii="Arial" w:cs="Arial" w:eastAsia="Arial" w:hAnsi="Arial"/>
          <w:sz w:val="15"/>
          <w:szCs w:val="15"/>
          <w:b w:val="1"/>
          <w:bCs w:val="1"/>
          <w:i w:val="1"/>
          <w:iCs w:val="1"/>
          <w:color w:val="auto"/>
        </w:rPr>
        <w:t xml:space="preserve"> Net Income Per Share</w:t>
      </w:r>
    </w:p>
    <w:p>
      <w:pPr>
        <w:spacing w:after="0" w:line="234" w:lineRule="exact"/>
        <w:rPr>
          <w:sz w:val="20"/>
          <w:szCs w:val="20"/>
          <w:color w:val="auto"/>
        </w:rPr>
      </w:pPr>
    </w:p>
    <w:p>
      <w:pPr>
        <w:ind w:left="40" w:right="60" w:firstLine="387"/>
        <w:spacing w:after="0" w:line="253" w:lineRule="auto"/>
        <w:rPr>
          <w:sz w:val="20"/>
          <w:szCs w:val="20"/>
          <w:color w:val="auto"/>
        </w:rPr>
      </w:pPr>
      <w:r>
        <w:rPr>
          <w:rFonts w:ascii="Arial" w:cs="Arial" w:eastAsia="Arial" w:hAnsi="Arial"/>
          <w:sz w:val="15"/>
          <w:szCs w:val="15"/>
          <w:color w:val="auto"/>
        </w:rPr>
        <w:t>Basic net income per share is computed using the weighted average number of shares of common stock outstanding for the period. Diluted net income per share is computed using the weighted average number of shares of common stock outstanding for the period and potentially dilutive common shares, including the effect of restricted stock units, performance share awards, and stock options using the treasury stock method. The following table sets forth the computation of the numerators and denominators used in the basic and diluted net income per share amounts:</w:t>
      </w:r>
    </w:p>
    <w:p>
      <w:pPr>
        <w:spacing w:after="0" w:line="3" w:lineRule="exact"/>
        <w:rPr>
          <w:sz w:val="20"/>
          <w:szCs w:val="20"/>
          <w:color w:val="auto"/>
        </w:rPr>
      </w:pPr>
    </w:p>
    <w:tbl>
      <w:tblPr>
        <w:tblLayout w:type="fixed"/>
        <w:tblInd w:w="40" w:type="dxa"/>
        <w:tblCellMar>
          <w:top w:w="0" w:type="dxa"/>
          <w:left w:w="0" w:type="dxa"/>
          <w:bottom w:w="0" w:type="dxa"/>
          <w:right w:w="0" w:type="dxa"/>
        </w:tblCellMar>
      </w:tblPr>
      <w:tr>
        <w:trPr>
          <w:trHeight w:val="179"/>
        </w:trPr>
        <w:tc>
          <w:tcPr>
            <w:tcW w:w="7400" w:type="dxa"/>
            <w:vAlign w:val="bottom"/>
          </w:tcPr>
          <w:p>
            <w:pPr>
              <w:spacing w:after="0"/>
              <w:rPr>
                <w:sz w:val="15"/>
                <w:szCs w:val="15"/>
                <w:color w:val="auto"/>
              </w:rPr>
            </w:pPr>
          </w:p>
        </w:tc>
        <w:tc>
          <w:tcPr>
            <w:tcW w:w="2780" w:type="dxa"/>
            <w:vAlign w:val="bottom"/>
            <w:tcBorders>
              <w:bottom w:val="single" w:sz="8" w:color="auto"/>
            </w:tcBorders>
            <w:gridSpan w:val="4"/>
          </w:tcPr>
          <w:p>
            <w:pPr>
              <w:jc w:val="right"/>
              <w:ind w:right="10"/>
              <w:spacing w:after="0"/>
              <w:rPr>
                <w:sz w:val="20"/>
                <w:szCs w:val="20"/>
                <w:color w:val="auto"/>
              </w:rPr>
            </w:pPr>
            <w:r>
              <w:rPr>
                <w:rFonts w:ascii="Arial" w:cs="Arial" w:eastAsia="Arial" w:hAnsi="Arial"/>
                <w:sz w:val="13"/>
                <w:szCs w:val="13"/>
                <w:b w:val="1"/>
                <w:bCs w:val="1"/>
                <w:color w:val="auto"/>
              </w:rPr>
              <w:t>Three Months Ended April 30,</w:t>
            </w:r>
          </w:p>
        </w:tc>
        <w:tc>
          <w:tcPr>
            <w:tcW w:w="40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7400" w:type="dxa"/>
            <w:vAlign w:val="bottom"/>
          </w:tcPr>
          <w:p>
            <w:pPr>
              <w:spacing w:after="0"/>
              <w:rPr>
                <w:sz w:val="14"/>
                <w:szCs w:val="14"/>
                <w:color w:val="auto"/>
              </w:rPr>
            </w:pPr>
          </w:p>
        </w:tc>
        <w:tc>
          <w:tcPr>
            <w:tcW w:w="1160" w:type="dxa"/>
            <w:vAlign w:val="bottom"/>
          </w:tcPr>
          <w:p>
            <w:pPr>
              <w:jc w:val="right"/>
              <w:spacing w:after="0"/>
              <w:rPr>
                <w:sz w:val="20"/>
                <w:szCs w:val="20"/>
                <w:color w:val="auto"/>
              </w:rPr>
            </w:pPr>
            <w:r>
              <w:rPr>
                <w:rFonts w:ascii="Arial" w:cs="Arial" w:eastAsia="Arial" w:hAnsi="Arial"/>
                <w:sz w:val="13"/>
                <w:szCs w:val="13"/>
                <w:b w:val="1"/>
                <w:bCs w:val="1"/>
                <w:color w:val="auto"/>
              </w:rPr>
              <w:t>2023</w:t>
            </w:r>
          </w:p>
        </w:tc>
        <w:tc>
          <w:tcPr>
            <w:tcW w:w="380" w:type="dxa"/>
            <w:vAlign w:val="bottom"/>
          </w:tcPr>
          <w:p>
            <w:pPr>
              <w:spacing w:after="0"/>
              <w:rPr>
                <w:sz w:val="14"/>
                <w:szCs w:val="14"/>
                <w:color w:val="auto"/>
              </w:rPr>
            </w:pPr>
          </w:p>
        </w:tc>
        <w:tc>
          <w:tcPr>
            <w:tcW w:w="1240" w:type="dxa"/>
            <w:vAlign w:val="bottom"/>
            <w:gridSpan w:val="2"/>
          </w:tcPr>
          <w:p>
            <w:pPr>
              <w:jc w:val="right"/>
              <w:spacing w:after="0"/>
              <w:rPr>
                <w:sz w:val="20"/>
                <w:szCs w:val="20"/>
                <w:color w:val="auto"/>
              </w:rPr>
            </w:pPr>
            <w:r>
              <w:rPr>
                <w:rFonts w:ascii="Arial" w:cs="Arial" w:eastAsia="Arial" w:hAnsi="Arial"/>
                <w:sz w:val="13"/>
                <w:szCs w:val="13"/>
                <w:b w:val="1"/>
                <w:bCs w:val="1"/>
                <w:color w:val="auto"/>
              </w:rPr>
              <w:t>2022</w:t>
            </w:r>
          </w:p>
        </w:tc>
        <w:tc>
          <w:tcPr>
            <w:tcW w:w="4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7"/>
        </w:trPr>
        <w:tc>
          <w:tcPr>
            <w:tcW w:w="7400" w:type="dxa"/>
            <w:vAlign w:val="bottom"/>
            <w:tcBorders>
              <w:top w:val="single" w:sz="8" w:color="CCEEFF"/>
            </w:tcBorders>
            <w:shd w:val="clear" w:color="auto" w:fill="CCEEFF"/>
          </w:tcPr>
          <w:p>
            <w:pPr>
              <w:ind w:left="400"/>
              <w:spacing w:after="0"/>
              <w:rPr>
                <w:sz w:val="20"/>
                <w:szCs w:val="20"/>
                <w:color w:val="auto"/>
              </w:rPr>
            </w:pPr>
            <w:r>
              <w:rPr>
                <w:rFonts w:ascii="Arial" w:cs="Arial" w:eastAsia="Arial" w:hAnsi="Arial"/>
                <w:sz w:val="14"/>
                <w:szCs w:val="14"/>
                <w:color w:val="auto"/>
              </w:rPr>
              <w:t>Numerator:</w:t>
            </w:r>
          </w:p>
        </w:tc>
        <w:tc>
          <w:tcPr>
            <w:tcW w:w="1160" w:type="dxa"/>
            <w:vAlign w:val="bottom"/>
            <w:tcBorders>
              <w:top w:val="single" w:sz="8" w:color="auto"/>
            </w:tcBorders>
            <w:shd w:val="clear" w:color="auto" w:fill="CCEEFF"/>
          </w:tcPr>
          <w:p>
            <w:pPr>
              <w:spacing w:after="0"/>
              <w:rPr>
                <w:sz w:val="14"/>
                <w:szCs w:val="14"/>
                <w:color w:val="auto"/>
              </w:rPr>
            </w:pPr>
          </w:p>
        </w:tc>
        <w:tc>
          <w:tcPr>
            <w:tcW w:w="3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140" w:type="dxa"/>
            <w:vAlign w:val="bottom"/>
            <w:tcBorders>
              <w:top w:val="single" w:sz="8" w:color="auto"/>
            </w:tcBorders>
            <w:shd w:val="clear" w:color="auto" w:fill="CCEEFF"/>
          </w:tcPr>
          <w:p>
            <w:pPr>
              <w:spacing w:after="0"/>
              <w:rPr>
                <w:sz w:val="14"/>
                <w:szCs w:val="14"/>
                <w:color w:val="auto"/>
              </w:rPr>
            </w:pPr>
          </w:p>
        </w:tc>
        <w:tc>
          <w:tcPr>
            <w:tcW w:w="40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7400" w:type="dxa"/>
            <w:vAlign w:val="bottom"/>
          </w:tcPr>
          <w:p>
            <w:pPr>
              <w:ind w:left="680"/>
              <w:spacing w:after="0"/>
              <w:rPr>
                <w:sz w:val="20"/>
                <w:szCs w:val="20"/>
                <w:color w:val="auto"/>
              </w:rPr>
            </w:pPr>
            <w:r>
              <w:rPr>
                <w:rFonts w:ascii="Arial" w:cs="Arial" w:eastAsia="Arial" w:hAnsi="Arial"/>
                <w:sz w:val="14"/>
                <w:szCs w:val="14"/>
                <w:color w:val="auto"/>
              </w:rPr>
              <w:t>Net income</w:t>
            </w:r>
          </w:p>
        </w:tc>
        <w:tc>
          <w:tcPr>
            <w:tcW w:w="1160" w:type="dxa"/>
            <w:vAlign w:val="bottom"/>
          </w:tcPr>
          <w:p>
            <w:pPr>
              <w:jc w:val="right"/>
              <w:ind w:right="612"/>
              <w:spacing w:after="0"/>
              <w:rPr>
                <w:sz w:val="20"/>
                <w:szCs w:val="20"/>
                <w:color w:val="auto"/>
              </w:rPr>
            </w:pPr>
            <w:r>
              <w:rPr>
                <w:rFonts w:ascii="Arial" w:cs="Arial" w:eastAsia="Arial" w:hAnsi="Arial"/>
                <w:sz w:val="14"/>
                <w:szCs w:val="14"/>
                <w:color w:val="auto"/>
              </w:rPr>
              <w:t>$</w:t>
            </w:r>
          </w:p>
        </w:tc>
        <w:tc>
          <w:tcPr>
            <w:tcW w:w="380" w:type="dxa"/>
            <w:vAlign w:val="bottom"/>
          </w:tcPr>
          <w:p>
            <w:pPr>
              <w:jc w:val="right"/>
              <w:spacing w:after="0"/>
              <w:rPr>
                <w:sz w:val="20"/>
                <w:szCs w:val="20"/>
                <w:color w:val="auto"/>
              </w:rPr>
            </w:pPr>
            <w:r>
              <w:rPr>
                <w:rFonts w:ascii="Arial" w:cs="Arial" w:eastAsia="Arial" w:hAnsi="Arial"/>
                <w:sz w:val="14"/>
                <w:szCs w:val="14"/>
                <w:color w:val="auto"/>
              </w:rPr>
              <w:t>161</w:t>
            </w:r>
          </w:p>
        </w:tc>
        <w:tc>
          <w:tcPr>
            <w:tcW w:w="1240" w:type="dxa"/>
            <w:vAlign w:val="bottom"/>
            <w:gridSpan w:val="2"/>
          </w:tcPr>
          <w:p>
            <w:pPr>
              <w:jc w:val="right"/>
              <w:ind w:right="590"/>
              <w:spacing w:after="0"/>
              <w:rPr>
                <w:sz w:val="20"/>
                <w:szCs w:val="20"/>
                <w:color w:val="auto"/>
              </w:rPr>
            </w:pPr>
            <w:r>
              <w:rPr>
                <w:rFonts w:ascii="Arial" w:cs="Arial" w:eastAsia="Arial" w:hAnsi="Arial"/>
                <w:sz w:val="14"/>
                <w:szCs w:val="14"/>
                <w:color w:val="auto"/>
              </w:rPr>
              <w:t>$</w:t>
            </w:r>
          </w:p>
        </w:tc>
        <w:tc>
          <w:tcPr>
            <w:tcW w:w="400" w:type="dxa"/>
            <w:vAlign w:val="bottom"/>
          </w:tcPr>
          <w:p>
            <w:pPr>
              <w:jc w:val="right"/>
              <w:spacing w:after="0"/>
              <w:rPr>
                <w:sz w:val="20"/>
                <w:szCs w:val="20"/>
                <w:color w:val="auto"/>
              </w:rPr>
            </w:pPr>
            <w:r>
              <w:rPr>
                <w:rFonts w:ascii="Arial" w:cs="Arial" w:eastAsia="Arial" w:hAnsi="Arial"/>
                <w:sz w:val="14"/>
                <w:szCs w:val="14"/>
                <w:color w:val="auto"/>
              </w:rPr>
              <w:t>146</w:t>
            </w:r>
          </w:p>
        </w:tc>
        <w:tc>
          <w:tcPr>
            <w:tcW w:w="0" w:type="dxa"/>
            <w:vAlign w:val="bottom"/>
          </w:tcPr>
          <w:p>
            <w:pPr>
              <w:spacing w:after="0"/>
              <w:rPr>
                <w:sz w:val="1"/>
                <w:szCs w:val="1"/>
                <w:color w:val="auto"/>
              </w:rPr>
            </w:pPr>
          </w:p>
        </w:tc>
      </w:tr>
      <w:tr>
        <w:trPr>
          <w:trHeight w:val="20"/>
        </w:trPr>
        <w:tc>
          <w:tcPr>
            <w:tcW w:w="7400" w:type="dxa"/>
            <w:vAlign w:val="bottom"/>
            <w:tcBorders>
              <w:bottom w:val="single" w:sz="8" w:color="CCEEFF"/>
            </w:tcBorders>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3"/>
        </w:trPr>
        <w:tc>
          <w:tcPr>
            <w:tcW w:w="7400" w:type="dxa"/>
            <w:vAlign w:val="bottom"/>
            <w:shd w:val="clear" w:color="auto" w:fill="CCEEFF"/>
          </w:tcPr>
          <w:p>
            <w:pPr>
              <w:ind w:left="400"/>
              <w:spacing w:after="0" w:line="153" w:lineRule="exact"/>
              <w:rPr>
                <w:sz w:val="20"/>
                <w:szCs w:val="20"/>
                <w:color w:val="auto"/>
              </w:rPr>
            </w:pPr>
            <w:r>
              <w:rPr>
                <w:rFonts w:ascii="Arial" w:cs="Arial" w:eastAsia="Arial" w:hAnsi="Arial"/>
                <w:sz w:val="14"/>
                <w:szCs w:val="14"/>
                <w:color w:val="auto"/>
              </w:rPr>
              <w:t>Denominator:</w:t>
            </w:r>
          </w:p>
        </w:tc>
        <w:tc>
          <w:tcPr>
            <w:tcW w:w="1160" w:type="dxa"/>
            <w:vAlign w:val="bottom"/>
            <w:shd w:val="clear" w:color="auto" w:fill="CCEEFF"/>
          </w:tcPr>
          <w:p>
            <w:pPr>
              <w:spacing w:after="0"/>
              <w:rPr>
                <w:sz w:val="13"/>
                <w:szCs w:val="13"/>
                <w:color w:val="auto"/>
              </w:rPr>
            </w:pPr>
          </w:p>
        </w:tc>
        <w:tc>
          <w:tcPr>
            <w:tcW w:w="3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4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85"/>
        </w:trPr>
        <w:tc>
          <w:tcPr>
            <w:tcW w:w="7400" w:type="dxa"/>
            <w:vAlign w:val="bottom"/>
          </w:tcPr>
          <w:p>
            <w:pPr>
              <w:ind w:left="680"/>
              <w:spacing w:after="0"/>
              <w:rPr>
                <w:sz w:val="20"/>
                <w:szCs w:val="20"/>
                <w:color w:val="auto"/>
              </w:rPr>
            </w:pPr>
            <w:r>
              <w:rPr>
                <w:rFonts w:ascii="Arial" w:cs="Arial" w:eastAsia="Arial" w:hAnsi="Arial"/>
                <w:sz w:val="14"/>
                <w:szCs w:val="14"/>
                <w:color w:val="auto"/>
              </w:rPr>
              <w:t>Denominator for basic net income per share—weighted average shares</w:t>
            </w:r>
          </w:p>
        </w:tc>
        <w:tc>
          <w:tcPr>
            <w:tcW w:w="1160" w:type="dxa"/>
            <w:vAlign w:val="bottom"/>
          </w:tcPr>
          <w:p>
            <w:pPr>
              <w:spacing w:after="0"/>
              <w:rPr>
                <w:sz w:val="16"/>
                <w:szCs w:val="16"/>
                <w:color w:val="auto"/>
              </w:rPr>
            </w:pPr>
          </w:p>
        </w:tc>
        <w:tc>
          <w:tcPr>
            <w:tcW w:w="380" w:type="dxa"/>
            <w:vAlign w:val="bottom"/>
          </w:tcPr>
          <w:p>
            <w:pPr>
              <w:jc w:val="right"/>
              <w:spacing w:after="0"/>
              <w:rPr>
                <w:sz w:val="20"/>
                <w:szCs w:val="20"/>
                <w:color w:val="auto"/>
              </w:rPr>
            </w:pPr>
            <w:r>
              <w:rPr>
                <w:rFonts w:ascii="Arial" w:cs="Arial" w:eastAsia="Arial" w:hAnsi="Arial"/>
                <w:sz w:val="14"/>
                <w:szCs w:val="14"/>
                <w:color w:val="auto"/>
              </w:rPr>
              <w:t>215</w:t>
            </w:r>
          </w:p>
        </w:tc>
        <w:tc>
          <w:tcPr>
            <w:tcW w:w="10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400" w:type="dxa"/>
            <w:vAlign w:val="bottom"/>
          </w:tcPr>
          <w:p>
            <w:pPr>
              <w:jc w:val="right"/>
              <w:spacing w:after="0"/>
              <w:rPr>
                <w:sz w:val="20"/>
                <w:szCs w:val="20"/>
                <w:color w:val="auto"/>
              </w:rPr>
            </w:pPr>
            <w:r>
              <w:rPr>
                <w:rFonts w:ascii="Arial" w:cs="Arial" w:eastAsia="Arial" w:hAnsi="Arial"/>
                <w:sz w:val="14"/>
                <w:szCs w:val="14"/>
                <w:color w:val="auto"/>
              </w:rPr>
              <w:t>217</w:t>
            </w:r>
          </w:p>
        </w:tc>
        <w:tc>
          <w:tcPr>
            <w:tcW w:w="0" w:type="dxa"/>
            <w:vAlign w:val="bottom"/>
          </w:tcPr>
          <w:p>
            <w:pPr>
              <w:spacing w:after="0"/>
              <w:rPr>
                <w:sz w:val="1"/>
                <w:szCs w:val="1"/>
                <w:color w:val="auto"/>
              </w:rPr>
            </w:pPr>
          </w:p>
        </w:tc>
      </w:tr>
      <w:tr>
        <w:trPr>
          <w:trHeight w:val="190"/>
        </w:trPr>
        <w:tc>
          <w:tcPr>
            <w:tcW w:w="7400" w:type="dxa"/>
            <w:vAlign w:val="bottom"/>
            <w:shd w:val="clear" w:color="auto" w:fill="CCEEFF"/>
          </w:tcPr>
          <w:p>
            <w:pPr>
              <w:ind w:left="680"/>
              <w:spacing w:after="0"/>
              <w:rPr>
                <w:sz w:val="20"/>
                <w:szCs w:val="20"/>
                <w:color w:val="auto"/>
              </w:rPr>
            </w:pPr>
            <w:r>
              <w:rPr>
                <w:rFonts w:ascii="Arial" w:cs="Arial" w:eastAsia="Arial" w:hAnsi="Arial"/>
                <w:sz w:val="14"/>
                <w:szCs w:val="14"/>
                <w:color w:val="auto"/>
              </w:rPr>
              <w:t>Effect of dilutive securities</w:t>
            </w:r>
          </w:p>
        </w:tc>
        <w:tc>
          <w:tcPr>
            <w:tcW w:w="1160" w:type="dxa"/>
            <w:vAlign w:val="bottom"/>
            <w:tcBorders>
              <w:bottom w:val="single" w:sz="8" w:color="auto"/>
            </w:tcBorders>
            <w:shd w:val="clear" w:color="auto" w:fill="CCEEFF"/>
          </w:tcPr>
          <w:p>
            <w:pPr>
              <w:spacing w:after="0"/>
              <w:rPr>
                <w:sz w:val="16"/>
                <w:szCs w:val="16"/>
                <w:color w:val="auto"/>
              </w:rPr>
            </w:pPr>
          </w:p>
        </w:tc>
        <w:tc>
          <w:tcPr>
            <w:tcW w:w="3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100" w:type="dxa"/>
            <w:vAlign w:val="bottom"/>
            <w:shd w:val="clear" w:color="auto" w:fill="CCEEFF"/>
          </w:tcPr>
          <w:p>
            <w:pPr>
              <w:spacing w:after="0"/>
              <w:rPr>
                <w:sz w:val="16"/>
                <w:szCs w:val="16"/>
                <w:color w:val="auto"/>
              </w:rPr>
            </w:pPr>
          </w:p>
        </w:tc>
        <w:tc>
          <w:tcPr>
            <w:tcW w:w="1140" w:type="dxa"/>
            <w:vAlign w:val="bottom"/>
            <w:tcBorders>
              <w:bottom w:val="single" w:sz="8" w:color="auto"/>
            </w:tcBorders>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177"/>
        </w:trPr>
        <w:tc>
          <w:tcPr>
            <w:tcW w:w="7400" w:type="dxa"/>
            <w:vAlign w:val="bottom"/>
          </w:tcPr>
          <w:p>
            <w:pPr>
              <w:ind w:left="680"/>
              <w:spacing w:after="0"/>
              <w:rPr>
                <w:sz w:val="20"/>
                <w:szCs w:val="20"/>
                <w:color w:val="auto"/>
              </w:rPr>
            </w:pPr>
            <w:r>
              <w:rPr>
                <w:rFonts w:ascii="Arial" w:cs="Arial" w:eastAsia="Arial" w:hAnsi="Arial"/>
                <w:sz w:val="14"/>
                <w:szCs w:val="14"/>
                <w:color w:val="auto"/>
              </w:rPr>
              <w:t>Denominator for dilutive net income per share</w:t>
            </w:r>
          </w:p>
        </w:tc>
        <w:tc>
          <w:tcPr>
            <w:tcW w:w="1160" w:type="dxa"/>
            <w:vAlign w:val="bottom"/>
            <w:tcBorders>
              <w:bottom w:val="single" w:sz="8" w:color="auto"/>
            </w:tcBorders>
          </w:tcPr>
          <w:p>
            <w:pPr>
              <w:spacing w:after="0"/>
              <w:rPr>
                <w:sz w:val="15"/>
                <w:szCs w:val="15"/>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216</w:t>
            </w:r>
          </w:p>
        </w:tc>
        <w:tc>
          <w:tcPr>
            <w:tcW w:w="100" w:type="dxa"/>
            <w:vAlign w:val="bottom"/>
          </w:tcPr>
          <w:p>
            <w:pPr>
              <w:spacing w:after="0"/>
              <w:rPr>
                <w:sz w:val="15"/>
                <w:szCs w:val="15"/>
                <w:color w:val="auto"/>
              </w:rPr>
            </w:pPr>
          </w:p>
        </w:tc>
        <w:tc>
          <w:tcPr>
            <w:tcW w:w="1140" w:type="dxa"/>
            <w:vAlign w:val="bottom"/>
            <w:tcBorders>
              <w:bottom w:val="single" w:sz="8" w:color="auto"/>
            </w:tcBorders>
          </w:tcPr>
          <w:p>
            <w:pPr>
              <w:spacing w:after="0"/>
              <w:rPr>
                <w:sz w:val="15"/>
                <w:szCs w:val="15"/>
                <w:color w:val="auto"/>
              </w:rPr>
            </w:pP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219</w:t>
            </w:r>
          </w:p>
        </w:tc>
        <w:tc>
          <w:tcPr>
            <w:tcW w:w="0" w:type="dxa"/>
            <w:vAlign w:val="bottom"/>
          </w:tcPr>
          <w:p>
            <w:pPr>
              <w:spacing w:after="0"/>
              <w:rPr>
                <w:sz w:val="1"/>
                <w:szCs w:val="1"/>
                <w:color w:val="auto"/>
              </w:rPr>
            </w:pPr>
          </w:p>
        </w:tc>
      </w:tr>
      <w:tr>
        <w:trPr>
          <w:trHeight w:val="20"/>
        </w:trPr>
        <w:tc>
          <w:tcPr>
            <w:tcW w:w="7400" w:type="dxa"/>
            <w:vAlign w:val="bottom"/>
            <w:tcBorders>
              <w:bottom w:val="single" w:sz="8" w:color="CCEEFF"/>
            </w:tcBorders>
          </w:tcPr>
          <w:p>
            <w:pPr>
              <w:spacing w:after="0" w:line="20" w:lineRule="exact"/>
              <w:rPr>
                <w:sz w:val="1"/>
                <w:szCs w:val="1"/>
                <w:color w:val="auto"/>
              </w:rPr>
            </w:pPr>
          </w:p>
        </w:tc>
        <w:tc>
          <w:tcPr>
            <w:tcW w:w="116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4"/>
        </w:trPr>
        <w:tc>
          <w:tcPr>
            <w:tcW w:w="7400" w:type="dxa"/>
            <w:vAlign w:val="bottom"/>
            <w:tcBorders>
              <w:bottom w:val="single" w:sz="8" w:color="CCEEFF"/>
            </w:tcBorders>
            <w:shd w:val="clear" w:color="auto" w:fill="CCEEFF"/>
          </w:tcPr>
          <w:p>
            <w:pPr>
              <w:ind w:left="400"/>
              <w:spacing w:after="0" w:line="159" w:lineRule="exact"/>
              <w:rPr>
                <w:sz w:val="20"/>
                <w:szCs w:val="20"/>
                <w:color w:val="auto"/>
              </w:rPr>
            </w:pPr>
            <w:r>
              <w:rPr>
                <w:rFonts w:ascii="Arial" w:cs="Arial" w:eastAsia="Arial" w:hAnsi="Arial"/>
                <w:sz w:val="14"/>
                <w:szCs w:val="14"/>
                <w:color w:val="auto"/>
              </w:rPr>
              <w:t>Basic net income per share</w:t>
            </w:r>
          </w:p>
        </w:tc>
        <w:tc>
          <w:tcPr>
            <w:tcW w:w="1160" w:type="dxa"/>
            <w:vAlign w:val="bottom"/>
            <w:tcBorders>
              <w:bottom w:val="single" w:sz="8" w:color="auto"/>
            </w:tcBorders>
            <w:shd w:val="clear" w:color="auto" w:fill="CCEEFF"/>
          </w:tcPr>
          <w:p>
            <w:pPr>
              <w:jc w:val="right"/>
              <w:ind w:right="612"/>
              <w:spacing w:after="0"/>
              <w:rPr>
                <w:sz w:val="20"/>
                <w:szCs w:val="20"/>
                <w:color w:val="auto"/>
              </w:rPr>
            </w:pPr>
            <w:r>
              <w:rPr>
                <w:rFonts w:ascii="Arial" w:cs="Arial" w:eastAsia="Arial" w:hAnsi="Arial"/>
                <w:sz w:val="14"/>
                <w:szCs w:val="14"/>
                <w:color w:val="auto"/>
              </w:rPr>
              <w:t>$</w:t>
            </w:r>
          </w:p>
        </w:tc>
        <w:tc>
          <w:tcPr>
            <w:tcW w:w="3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0.75</w:t>
            </w:r>
          </w:p>
        </w:tc>
        <w:tc>
          <w:tcPr>
            <w:tcW w:w="100" w:type="dxa"/>
            <w:vAlign w:val="bottom"/>
            <w:tcBorders>
              <w:bottom w:val="single" w:sz="8" w:color="CCEEFF"/>
            </w:tcBorders>
            <w:shd w:val="clear" w:color="auto" w:fill="CCEEFF"/>
          </w:tcPr>
          <w:p>
            <w:pPr>
              <w:spacing w:after="0"/>
              <w:rPr>
                <w:sz w:val="16"/>
                <w:szCs w:val="16"/>
                <w:color w:val="auto"/>
              </w:rPr>
            </w:pPr>
          </w:p>
        </w:tc>
        <w:tc>
          <w:tcPr>
            <w:tcW w:w="1140" w:type="dxa"/>
            <w:vAlign w:val="bottom"/>
            <w:tcBorders>
              <w:bottom w:val="single" w:sz="8" w:color="auto"/>
            </w:tcBorders>
            <w:shd w:val="clear" w:color="auto" w:fill="CCEEFF"/>
          </w:tcPr>
          <w:p>
            <w:pPr>
              <w:jc w:val="right"/>
              <w:ind w:right="590"/>
              <w:spacing w:after="0"/>
              <w:rPr>
                <w:sz w:val="20"/>
                <w:szCs w:val="20"/>
                <w:color w:val="auto"/>
              </w:rPr>
            </w:pPr>
            <w:r>
              <w:rPr>
                <w:rFonts w:ascii="Arial" w:cs="Arial" w:eastAsia="Arial" w:hAnsi="Arial"/>
                <w:sz w:val="14"/>
                <w:szCs w:val="14"/>
                <w:color w:val="auto"/>
              </w:rPr>
              <w:t>$</w:t>
            </w:r>
          </w:p>
        </w:tc>
        <w:tc>
          <w:tcPr>
            <w:tcW w:w="40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0.67</w:t>
            </w:r>
          </w:p>
        </w:tc>
        <w:tc>
          <w:tcPr>
            <w:tcW w:w="0" w:type="dxa"/>
            <w:vAlign w:val="bottom"/>
          </w:tcPr>
          <w:p>
            <w:pPr>
              <w:spacing w:after="0"/>
              <w:rPr>
                <w:sz w:val="1"/>
                <w:szCs w:val="1"/>
                <w:color w:val="auto"/>
              </w:rPr>
            </w:pPr>
          </w:p>
        </w:tc>
      </w:tr>
      <w:tr>
        <w:trPr>
          <w:trHeight w:val="20"/>
        </w:trPr>
        <w:tc>
          <w:tcPr>
            <w:tcW w:w="7400" w:type="dxa"/>
            <w:vAlign w:val="bottom"/>
            <w:vMerge w:val="restart"/>
          </w:tcPr>
          <w:p>
            <w:pPr>
              <w:ind w:left="400"/>
              <w:spacing w:after="0"/>
              <w:rPr>
                <w:sz w:val="20"/>
                <w:szCs w:val="20"/>
                <w:color w:val="auto"/>
              </w:rPr>
            </w:pPr>
            <w:r>
              <w:rPr>
                <w:rFonts w:ascii="Arial" w:cs="Arial" w:eastAsia="Arial" w:hAnsi="Arial"/>
                <w:sz w:val="14"/>
                <w:szCs w:val="14"/>
                <w:color w:val="auto"/>
              </w:rPr>
              <w:t>Diluted net income per share</w:t>
            </w:r>
          </w:p>
        </w:tc>
        <w:tc>
          <w:tcPr>
            <w:tcW w:w="116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4"/>
        </w:trPr>
        <w:tc>
          <w:tcPr>
            <w:tcW w:w="7400" w:type="dxa"/>
            <w:vAlign w:val="bottom"/>
            <w:vMerge w:val="continue"/>
          </w:tcPr>
          <w:p>
            <w:pPr>
              <w:spacing w:after="0"/>
              <w:rPr>
                <w:sz w:val="13"/>
                <w:szCs w:val="13"/>
                <w:color w:val="auto"/>
              </w:rPr>
            </w:pPr>
          </w:p>
        </w:tc>
        <w:tc>
          <w:tcPr>
            <w:tcW w:w="1160" w:type="dxa"/>
            <w:vAlign w:val="bottom"/>
          </w:tcPr>
          <w:p>
            <w:pPr>
              <w:jc w:val="right"/>
              <w:ind w:right="612"/>
              <w:spacing w:after="0" w:line="155" w:lineRule="exact"/>
              <w:rPr>
                <w:sz w:val="20"/>
                <w:szCs w:val="20"/>
                <w:color w:val="auto"/>
              </w:rPr>
            </w:pPr>
            <w:r>
              <w:rPr>
                <w:rFonts w:ascii="Arial" w:cs="Arial" w:eastAsia="Arial" w:hAnsi="Arial"/>
                <w:sz w:val="14"/>
                <w:szCs w:val="14"/>
                <w:color w:val="auto"/>
              </w:rPr>
              <w:t>$</w:t>
            </w:r>
          </w:p>
        </w:tc>
        <w:tc>
          <w:tcPr>
            <w:tcW w:w="380" w:type="dxa"/>
            <w:vAlign w:val="bottom"/>
          </w:tcPr>
          <w:p>
            <w:pPr>
              <w:jc w:val="right"/>
              <w:spacing w:after="0" w:line="155" w:lineRule="exact"/>
              <w:rPr>
                <w:sz w:val="20"/>
                <w:szCs w:val="20"/>
                <w:color w:val="auto"/>
              </w:rPr>
            </w:pPr>
            <w:r>
              <w:rPr>
                <w:rFonts w:ascii="Arial" w:cs="Arial" w:eastAsia="Arial" w:hAnsi="Arial"/>
                <w:sz w:val="14"/>
                <w:szCs w:val="14"/>
                <w:color w:val="auto"/>
              </w:rPr>
              <w:t>0.75</w:t>
            </w:r>
          </w:p>
        </w:tc>
        <w:tc>
          <w:tcPr>
            <w:tcW w:w="1240" w:type="dxa"/>
            <w:vAlign w:val="bottom"/>
            <w:gridSpan w:val="2"/>
          </w:tcPr>
          <w:p>
            <w:pPr>
              <w:jc w:val="right"/>
              <w:ind w:right="590"/>
              <w:spacing w:after="0" w:line="155" w:lineRule="exact"/>
              <w:rPr>
                <w:sz w:val="20"/>
                <w:szCs w:val="20"/>
                <w:color w:val="auto"/>
              </w:rPr>
            </w:pPr>
            <w:r>
              <w:rPr>
                <w:rFonts w:ascii="Arial" w:cs="Arial" w:eastAsia="Arial" w:hAnsi="Arial"/>
                <w:sz w:val="14"/>
                <w:szCs w:val="14"/>
                <w:color w:val="auto"/>
              </w:rPr>
              <w:t>$</w:t>
            </w:r>
          </w:p>
        </w:tc>
        <w:tc>
          <w:tcPr>
            <w:tcW w:w="400" w:type="dxa"/>
            <w:vAlign w:val="bottom"/>
          </w:tcPr>
          <w:p>
            <w:pPr>
              <w:jc w:val="right"/>
              <w:ind w:right="10"/>
              <w:spacing w:after="0" w:line="155" w:lineRule="exact"/>
              <w:rPr>
                <w:sz w:val="20"/>
                <w:szCs w:val="20"/>
                <w:color w:val="auto"/>
              </w:rPr>
            </w:pPr>
            <w:r>
              <w:rPr>
                <w:rFonts w:ascii="Arial" w:cs="Arial" w:eastAsia="Arial" w:hAnsi="Arial"/>
                <w:sz w:val="14"/>
                <w:szCs w:val="14"/>
                <w:color w:val="auto"/>
              </w:rPr>
              <w:t>0.67</w:t>
            </w:r>
          </w:p>
        </w:tc>
        <w:tc>
          <w:tcPr>
            <w:tcW w:w="0" w:type="dxa"/>
            <w:vAlign w:val="bottom"/>
          </w:tcPr>
          <w:p>
            <w:pPr>
              <w:spacing w:after="0"/>
              <w:rPr>
                <w:sz w:val="1"/>
                <w:szCs w:val="1"/>
                <w:color w:val="auto"/>
              </w:rPr>
            </w:pPr>
          </w:p>
        </w:tc>
      </w:tr>
      <w:tr>
        <w:trPr>
          <w:trHeight w:val="20"/>
        </w:trPr>
        <w:tc>
          <w:tcPr>
            <w:tcW w:w="7400" w:type="dxa"/>
            <w:vAlign w:val="bottom"/>
          </w:tcPr>
          <w:p>
            <w:pPr>
              <w:spacing w:after="0" w:line="20" w:lineRule="exact"/>
              <w:rPr>
                <w:sz w:val="1"/>
                <w:szCs w:val="1"/>
                <w:color w:val="auto"/>
              </w:rPr>
            </w:pPr>
          </w:p>
        </w:tc>
        <w:tc>
          <w:tcPr>
            <w:tcW w:w="1160" w:type="dxa"/>
            <w:vAlign w:val="bottom"/>
            <w:tcBorders>
              <w:top w:val="single" w:sz="8" w:color="auto"/>
              <w:bottom w:val="single" w:sz="8" w:color="auto"/>
            </w:tcBorders>
          </w:tcPr>
          <w:p>
            <w:pPr>
              <w:spacing w:after="0" w:line="20" w:lineRule="exact"/>
              <w:rPr>
                <w:sz w:val="1"/>
                <w:szCs w:val="1"/>
                <w:color w:val="auto"/>
              </w:rPr>
            </w:pPr>
          </w:p>
        </w:tc>
        <w:tc>
          <w:tcPr>
            <w:tcW w:w="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86" w:lineRule="exact"/>
        <w:rPr>
          <w:sz w:val="20"/>
          <w:szCs w:val="20"/>
          <w:color w:val="auto"/>
        </w:rPr>
      </w:pPr>
    </w:p>
    <w:p>
      <w:pPr>
        <w:ind w:left="40" w:right="120" w:firstLine="387"/>
        <w:spacing w:after="0" w:line="257" w:lineRule="auto"/>
        <w:rPr>
          <w:sz w:val="20"/>
          <w:szCs w:val="20"/>
          <w:color w:val="auto"/>
        </w:rPr>
      </w:pPr>
      <w:r>
        <w:rPr>
          <w:rFonts w:ascii="Arial" w:cs="Arial" w:eastAsia="Arial" w:hAnsi="Arial"/>
          <w:sz w:val="15"/>
          <w:szCs w:val="15"/>
          <w:color w:val="auto"/>
        </w:rPr>
        <w:t>The computation of diluted net income per share does not include shares that are anti- dilutive under the treasury stock method because their exercise prices are higher than the average market value of Autodesk’s stock during the periods. For the three months ended April 30, 2023 and 2022, there were 588 thousand and 531 thousand anti-dilutive shares excluded from the computation of diluted net income per share, respectively.</w:t>
      </w:r>
    </w:p>
    <w:p>
      <w:pPr>
        <w:spacing w:after="0" w:line="188" w:lineRule="exact"/>
        <w:rPr>
          <w:sz w:val="20"/>
          <w:szCs w:val="20"/>
          <w:color w:val="auto"/>
        </w:rPr>
      </w:pPr>
    </w:p>
    <w:p>
      <w:pPr>
        <w:ind w:left="40"/>
        <w:spacing w:after="0"/>
        <w:rPr>
          <w:sz w:val="20"/>
          <w:szCs w:val="20"/>
          <w:color w:val="auto"/>
        </w:rPr>
      </w:pPr>
      <w:r>
        <w:rPr>
          <w:rFonts w:ascii="Arial" w:cs="Arial" w:eastAsia="Arial" w:hAnsi="Arial"/>
          <w:sz w:val="15"/>
          <w:szCs w:val="15"/>
          <w:b w:val="1"/>
          <w:bCs w:val="1"/>
          <w:i w:val="1"/>
          <w:iCs w:val="1"/>
          <w:color w:val="auto"/>
        </w:rPr>
        <w:t>20. Segments</w:t>
      </w:r>
    </w:p>
    <w:p>
      <w:pPr>
        <w:spacing w:after="0" w:line="234" w:lineRule="exact"/>
        <w:rPr>
          <w:sz w:val="20"/>
          <w:szCs w:val="20"/>
          <w:color w:val="auto"/>
        </w:rPr>
      </w:pPr>
    </w:p>
    <w:p>
      <w:pPr>
        <w:ind w:left="40" w:right="80" w:firstLine="351"/>
        <w:spacing w:after="0" w:line="249" w:lineRule="auto"/>
        <w:rPr>
          <w:sz w:val="20"/>
          <w:szCs w:val="20"/>
          <w:color w:val="auto"/>
        </w:rPr>
      </w:pPr>
      <w:r>
        <w:rPr>
          <w:rFonts w:ascii="Arial" w:cs="Arial" w:eastAsia="Arial" w:hAnsi="Arial"/>
          <w:sz w:val="15"/>
          <w:szCs w:val="15"/>
          <w:color w:val="auto"/>
        </w:rPr>
        <w:t>Autodesk operates in one operating segment and accordingly, all required financial segment information is included in the condensed consolidated financial statements. Operating segments are defined as components of an enterprise for which separate financial information is evaluated regularly by the chief operating decision makers (“CODM”) in deciding how to allocate resources and assess performance. Autodesk reports segment information based on the “management” approach. The management approach designates the internal reporting used by management for making decisions, allocating resources, and assessing performance as the source of the Company’s reportable segments. The Company’s CODM allocates resources and assesses the operating performance of the Company as a whole.</w:t>
      </w:r>
    </w:p>
    <w:p>
      <w:pPr>
        <w:spacing w:after="0" w:line="203" w:lineRule="exact"/>
        <w:rPr>
          <w:sz w:val="20"/>
          <w:szCs w:val="20"/>
          <w:color w:val="auto"/>
        </w:rPr>
      </w:pPr>
    </w:p>
    <w:p>
      <w:pPr>
        <w:ind w:left="400"/>
        <w:spacing w:after="0"/>
        <w:rPr>
          <w:sz w:val="20"/>
          <w:szCs w:val="20"/>
          <w:color w:val="auto"/>
        </w:rPr>
      </w:pPr>
      <w:r>
        <w:rPr>
          <w:rFonts w:ascii="Arial" w:cs="Arial" w:eastAsia="Arial" w:hAnsi="Arial"/>
          <w:sz w:val="15"/>
          <w:szCs w:val="15"/>
          <w:color w:val="auto"/>
        </w:rPr>
        <w:t>Information regarding Autodesk’s long-lived assets by geographic area is as follows:</w: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60" w:type="dxa"/>
            <w:vAlign w:val="bottom"/>
          </w:tcPr>
          <w:p>
            <w:pPr>
              <w:spacing w:after="0"/>
              <w:rPr>
                <w:sz w:val="15"/>
                <w:szCs w:val="15"/>
                <w:color w:val="auto"/>
              </w:rPr>
            </w:pPr>
          </w:p>
        </w:tc>
        <w:tc>
          <w:tcPr>
            <w:tcW w:w="4800" w:type="dxa"/>
            <w:vAlign w:val="bottom"/>
          </w:tcPr>
          <w:p>
            <w:pPr>
              <w:spacing w:after="0"/>
              <w:rPr>
                <w:sz w:val="15"/>
                <w:szCs w:val="15"/>
                <w:color w:val="auto"/>
              </w:rPr>
            </w:pPr>
          </w:p>
        </w:tc>
        <w:tc>
          <w:tcPr>
            <w:tcW w:w="2680" w:type="dxa"/>
            <w:vAlign w:val="bottom"/>
          </w:tcPr>
          <w:p>
            <w:pPr>
              <w:spacing w:after="0"/>
              <w:rPr>
                <w:sz w:val="15"/>
                <w:szCs w:val="15"/>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April 30, 2023</w:t>
            </w:r>
          </w:p>
        </w:tc>
        <w:tc>
          <w:tcPr>
            <w:tcW w:w="3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360" w:type="dxa"/>
            <w:vAlign w:val="bottom"/>
            <w:tcBorders>
              <w:bottom w:val="single" w:sz="8" w:color="auto"/>
            </w:tcBorders>
          </w:tcPr>
          <w:p>
            <w:pPr>
              <w:jc w:val="right"/>
              <w:ind w:right="171"/>
              <w:spacing w:after="0"/>
              <w:rPr>
                <w:sz w:val="20"/>
                <w:szCs w:val="20"/>
                <w:color w:val="auto"/>
              </w:rPr>
            </w:pPr>
            <w:r>
              <w:rPr>
                <w:rFonts w:ascii="Arial" w:cs="Arial" w:eastAsia="Arial" w:hAnsi="Arial"/>
                <w:sz w:val="13"/>
                <w:szCs w:val="13"/>
                <w:b w:val="1"/>
                <w:bCs w:val="1"/>
                <w:color w:val="auto"/>
              </w:rPr>
              <w:t>January 31, 2023</w:t>
            </w:r>
          </w:p>
        </w:tc>
      </w:tr>
      <w:tr>
        <w:trPr>
          <w:trHeight w:val="165"/>
        </w:trPr>
        <w:tc>
          <w:tcPr>
            <w:tcW w:w="4860" w:type="dxa"/>
            <w:vAlign w:val="bottom"/>
            <w:gridSpan w:val="2"/>
          </w:tcPr>
          <w:p>
            <w:pPr>
              <w:spacing w:after="0"/>
              <w:rPr>
                <w:sz w:val="20"/>
                <w:szCs w:val="20"/>
                <w:color w:val="auto"/>
              </w:rPr>
            </w:pPr>
            <w:r>
              <w:rPr>
                <w:rFonts w:ascii="Arial" w:cs="Arial" w:eastAsia="Arial" w:hAnsi="Arial"/>
                <w:sz w:val="14"/>
                <w:szCs w:val="14"/>
                <w:color w:val="auto"/>
              </w:rPr>
              <w:t>Long-lived assets (1):</w:t>
            </w:r>
          </w:p>
        </w:tc>
        <w:tc>
          <w:tcPr>
            <w:tcW w:w="2680" w:type="dxa"/>
            <w:vAlign w:val="bottom"/>
          </w:tcPr>
          <w:p>
            <w:pPr>
              <w:spacing w:after="0"/>
              <w:rPr>
                <w:sz w:val="14"/>
                <w:szCs w:val="14"/>
                <w:color w:val="auto"/>
              </w:rPr>
            </w:pPr>
          </w:p>
        </w:tc>
        <w:tc>
          <w:tcPr>
            <w:tcW w:w="1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360" w:type="dxa"/>
            <w:vAlign w:val="bottom"/>
          </w:tcPr>
          <w:p>
            <w:pPr>
              <w:spacing w:after="0"/>
              <w:rPr>
                <w:sz w:val="14"/>
                <w:szCs w:val="14"/>
                <w:color w:val="auto"/>
              </w:rPr>
            </w:pPr>
          </w:p>
        </w:tc>
      </w:tr>
      <w:tr>
        <w:trPr>
          <w:trHeight w:val="190"/>
        </w:trPr>
        <w:tc>
          <w:tcPr>
            <w:tcW w:w="60" w:type="dxa"/>
            <w:vAlign w:val="bottom"/>
          </w:tcPr>
          <w:p>
            <w:pPr>
              <w:spacing w:after="0"/>
              <w:rPr>
                <w:sz w:val="16"/>
                <w:szCs w:val="16"/>
                <w:color w:val="auto"/>
              </w:rPr>
            </w:pPr>
          </w:p>
        </w:tc>
        <w:tc>
          <w:tcPr>
            <w:tcW w:w="4800" w:type="dxa"/>
            <w:vAlign w:val="bottom"/>
            <w:shd w:val="clear" w:color="auto" w:fill="CCEEFF"/>
          </w:tcPr>
          <w:p>
            <w:pPr>
              <w:ind w:left="220"/>
              <w:spacing w:after="0"/>
              <w:rPr>
                <w:sz w:val="20"/>
                <w:szCs w:val="20"/>
                <w:color w:val="auto"/>
              </w:rPr>
            </w:pPr>
            <w:r>
              <w:rPr>
                <w:rFonts w:ascii="Arial" w:cs="Arial" w:eastAsia="Arial" w:hAnsi="Arial"/>
                <w:sz w:val="14"/>
                <w:szCs w:val="14"/>
                <w:color w:val="auto"/>
              </w:rPr>
              <w:t>Americas</w:t>
            </w:r>
          </w:p>
        </w:tc>
        <w:tc>
          <w:tcPr>
            <w:tcW w:w="268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3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360" w:type="dxa"/>
            <w:vAlign w:val="bottom"/>
            <w:shd w:val="clear" w:color="auto" w:fill="CCEEFF"/>
          </w:tcPr>
          <w:p>
            <w:pPr>
              <w:spacing w:after="0"/>
              <w:rPr>
                <w:sz w:val="16"/>
                <w:szCs w:val="16"/>
                <w:color w:val="auto"/>
              </w:rPr>
            </w:pPr>
          </w:p>
        </w:tc>
      </w:tr>
      <w:tr>
        <w:trPr>
          <w:trHeight w:val="185"/>
        </w:trPr>
        <w:tc>
          <w:tcPr>
            <w:tcW w:w="60" w:type="dxa"/>
            <w:vAlign w:val="bottom"/>
          </w:tcPr>
          <w:p>
            <w:pPr>
              <w:spacing w:after="0"/>
              <w:rPr>
                <w:sz w:val="16"/>
                <w:szCs w:val="16"/>
                <w:color w:val="auto"/>
              </w:rPr>
            </w:pPr>
          </w:p>
        </w:tc>
        <w:tc>
          <w:tcPr>
            <w:tcW w:w="4800" w:type="dxa"/>
            <w:vAlign w:val="bottom"/>
          </w:tcPr>
          <w:p>
            <w:pPr>
              <w:ind w:left="500"/>
              <w:spacing w:after="0"/>
              <w:rPr>
                <w:sz w:val="20"/>
                <w:szCs w:val="20"/>
                <w:color w:val="auto"/>
              </w:rPr>
            </w:pPr>
            <w:r>
              <w:rPr>
                <w:rFonts w:ascii="Arial" w:cs="Arial" w:eastAsia="Arial" w:hAnsi="Arial"/>
                <w:sz w:val="14"/>
                <w:szCs w:val="14"/>
                <w:color w:val="auto"/>
              </w:rPr>
              <w:t>U.S.</w:t>
            </w:r>
          </w:p>
        </w:tc>
        <w:tc>
          <w:tcPr>
            <w:tcW w:w="3780" w:type="dxa"/>
            <w:vAlign w:val="bottom"/>
            <w:gridSpan w:val="2"/>
          </w:tcPr>
          <w:p>
            <w:pPr>
              <w:jc w:val="right"/>
              <w:ind w:right="1016"/>
              <w:spacing w:after="0"/>
              <w:rPr>
                <w:sz w:val="20"/>
                <w:szCs w:val="20"/>
                <w:color w:val="auto"/>
              </w:rPr>
            </w:pPr>
            <w:r>
              <w:rPr>
                <w:rFonts w:ascii="Arial" w:cs="Arial" w:eastAsia="Arial" w:hAnsi="Arial"/>
                <w:sz w:val="14"/>
                <w:szCs w:val="14"/>
                <w:color w:val="auto"/>
              </w:rPr>
              <w:t>$</w:t>
            </w:r>
          </w:p>
        </w:tc>
        <w:tc>
          <w:tcPr>
            <w:tcW w:w="320" w:type="dxa"/>
            <w:vAlign w:val="bottom"/>
          </w:tcPr>
          <w:p>
            <w:pPr>
              <w:jc w:val="right"/>
              <w:ind w:right="10"/>
              <w:spacing w:after="0"/>
              <w:rPr>
                <w:sz w:val="20"/>
                <w:szCs w:val="20"/>
                <w:color w:val="auto"/>
              </w:rPr>
            </w:pPr>
            <w:r>
              <w:rPr>
                <w:rFonts w:ascii="Arial" w:cs="Arial" w:eastAsia="Arial" w:hAnsi="Arial"/>
                <w:sz w:val="14"/>
                <w:szCs w:val="14"/>
                <w:color w:val="auto"/>
                <w:w w:val="94"/>
              </w:rPr>
              <w:t>273</w:t>
            </w:r>
          </w:p>
        </w:tc>
        <w:tc>
          <w:tcPr>
            <w:tcW w:w="200" w:type="dxa"/>
            <w:vAlign w:val="bottom"/>
            <w:gridSpan w:val="2"/>
          </w:tcPr>
          <w:p>
            <w:pPr>
              <w:jc w:val="right"/>
              <w:ind w:right="80"/>
              <w:spacing w:after="0"/>
              <w:rPr>
                <w:sz w:val="20"/>
                <w:szCs w:val="20"/>
                <w:color w:val="auto"/>
              </w:rPr>
            </w:pPr>
            <w:r>
              <w:rPr>
                <w:rFonts w:ascii="Arial" w:cs="Arial" w:eastAsia="Arial" w:hAnsi="Arial"/>
                <w:sz w:val="14"/>
                <w:szCs w:val="14"/>
                <w:color w:val="auto"/>
              </w:rPr>
              <w:t>$</w:t>
            </w:r>
          </w:p>
        </w:tc>
        <w:tc>
          <w:tcPr>
            <w:tcW w:w="1360" w:type="dxa"/>
            <w:vAlign w:val="bottom"/>
          </w:tcPr>
          <w:p>
            <w:pPr>
              <w:jc w:val="right"/>
              <w:ind w:right="31"/>
              <w:spacing w:after="0"/>
              <w:rPr>
                <w:sz w:val="20"/>
                <w:szCs w:val="20"/>
                <w:color w:val="auto"/>
              </w:rPr>
            </w:pPr>
            <w:r>
              <w:rPr>
                <w:rFonts w:ascii="Arial" w:cs="Arial" w:eastAsia="Arial" w:hAnsi="Arial"/>
                <w:sz w:val="14"/>
                <w:szCs w:val="14"/>
                <w:color w:val="auto"/>
              </w:rPr>
              <w:t>256</w:t>
            </w:r>
          </w:p>
        </w:tc>
      </w:tr>
      <w:tr>
        <w:trPr>
          <w:trHeight w:val="190"/>
        </w:trPr>
        <w:tc>
          <w:tcPr>
            <w:tcW w:w="60" w:type="dxa"/>
            <w:vAlign w:val="bottom"/>
          </w:tcPr>
          <w:p>
            <w:pPr>
              <w:spacing w:after="0"/>
              <w:rPr>
                <w:sz w:val="16"/>
                <w:szCs w:val="16"/>
                <w:color w:val="auto"/>
              </w:rPr>
            </w:pPr>
          </w:p>
        </w:tc>
        <w:tc>
          <w:tcPr>
            <w:tcW w:w="4800" w:type="dxa"/>
            <w:vAlign w:val="bottom"/>
            <w:shd w:val="clear" w:color="auto" w:fill="CCEEFF"/>
          </w:tcPr>
          <w:p>
            <w:pPr>
              <w:ind w:left="500"/>
              <w:spacing w:after="0"/>
              <w:rPr>
                <w:sz w:val="20"/>
                <w:szCs w:val="20"/>
                <w:color w:val="auto"/>
              </w:rPr>
            </w:pPr>
            <w:r>
              <w:rPr>
                <w:rFonts w:ascii="Arial" w:cs="Arial" w:eastAsia="Arial" w:hAnsi="Arial"/>
                <w:sz w:val="14"/>
                <w:szCs w:val="14"/>
                <w:color w:val="auto"/>
              </w:rPr>
              <w:t>Other Americas</w:t>
            </w:r>
          </w:p>
        </w:tc>
        <w:tc>
          <w:tcPr>
            <w:tcW w:w="2680" w:type="dxa"/>
            <w:vAlign w:val="bottom"/>
            <w:shd w:val="clear" w:color="auto" w:fill="CCEEFF"/>
          </w:tcPr>
          <w:p>
            <w:pPr>
              <w:spacing w:after="0"/>
              <w:rPr>
                <w:sz w:val="16"/>
                <w:szCs w:val="16"/>
                <w:color w:val="auto"/>
              </w:rPr>
            </w:pPr>
          </w:p>
        </w:tc>
        <w:tc>
          <w:tcPr>
            <w:tcW w:w="1100" w:type="dxa"/>
            <w:vAlign w:val="bottom"/>
            <w:tcBorders>
              <w:bottom w:val="single" w:sz="8" w:color="auto"/>
            </w:tcBorders>
            <w:shd w:val="clear" w:color="auto" w:fill="CCEEFF"/>
          </w:tcPr>
          <w:p>
            <w:pPr>
              <w:spacing w:after="0"/>
              <w:rPr>
                <w:sz w:val="16"/>
                <w:szCs w:val="16"/>
                <w:color w:val="auto"/>
              </w:rPr>
            </w:pPr>
          </w:p>
        </w:tc>
        <w:tc>
          <w:tcPr>
            <w:tcW w:w="320" w:type="dxa"/>
            <w:vAlign w:val="bottom"/>
            <w:tcBorders>
              <w:bottom w:val="single" w:sz="8" w:color="auto"/>
            </w:tcBorders>
            <w:shd w:val="clear" w:color="auto" w:fill="CCEEFF"/>
          </w:tcPr>
          <w:p>
            <w:pPr>
              <w:jc w:val="right"/>
              <w:ind w:right="10"/>
              <w:spacing w:after="0"/>
              <w:rPr>
                <w:sz w:val="20"/>
                <w:szCs w:val="20"/>
                <w:color w:val="auto"/>
              </w:rPr>
            </w:pPr>
            <w:r>
              <w:rPr>
                <w:rFonts w:ascii="Arial" w:cs="Arial" w:eastAsia="Arial" w:hAnsi="Arial"/>
                <w:sz w:val="14"/>
                <w:szCs w:val="14"/>
                <w:color w:val="auto"/>
              </w:rPr>
              <w:t>16</w:t>
            </w:r>
          </w:p>
        </w:tc>
        <w:tc>
          <w:tcPr>
            <w:tcW w:w="100" w:type="dxa"/>
            <w:vAlign w:val="bottom"/>
            <w:shd w:val="clear" w:color="auto" w:fill="CCEEFF"/>
          </w:tcPr>
          <w:p>
            <w:pPr>
              <w:spacing w:after="0"/>
              <w:rPr>
                <w:sz w:val="16"/>
                <w:szCs w:val="16"/>
                <w:color w:val="auto"/>
              </w:rPr>
            </w:pPr>
          </w:p>
        </w:tc>
        <w:tc>
          <w:tcPr>
            <w:tcW w:w="100" w:type="dxa"/>
            <w:vAlign w:val="bottom"/>
            <w:tcBorders>
              <w:bottom w:val="single" w:sz="8" w:color="auto"/>
            </w:tcBorders>
            <w:shd w:val="clear" w:color="auto" w:fill="CCEEFF"/>
          </w:tcPr>
          <w:p>
            <w:pPr>
              <w:spacing w:after="0"/>
              <w:rPr>
                <w:sz w:val="16"/>
                <w:szCs w:val="16"/>
                <w:color w:val="auto"/>
              </w:rPr>
            </w:pPr>
          </w:p>
        </w:tc>
        <w:tc>
          <w:tcPr>
            <w:tcW w:w="1360" w:type="dxa"/>
            <w:vAlign w:val="bottom"/>
            <w:tcBorders>
              <w:bottom w:val="single" w:sz="8" w:color="auto"/>
            </w:tcBorders>
            <w:shd w:val="clear" w:color="auto" w:fill="CCEEFF"/>
          </w:tcPr>
          <w:p>
            <w:pPr>
              <w:jc w:val="right"/>
              <w:ind w:right="31"/>
              <w:spacing w:after="0"/>
              <w:rPr>
                <w:sz w:val="20"/>
                <w:szCs w:val="20"/>
                <w:color w:val="auto"/>
              </w:rPr>
            </w:pPr>
            <w:r>
              <w:rPr>
                <w:rFonts w:ascii="Arial" w:cs="Arial" w:eastAsia="Arial" w:hAnsi="Arial"/>
                <w:sz w:val="14"/>
                <w:szCs w:val="14"/>
                <w:color w:val="auto"/>
              </w:rPr>
              <w:t>13</w:t>
            </w:r>
          </w:p>
        </w:tc>
      </w:tr>
      <w:tr>
        <w:trPr>
          <w:trHeight w:val="177"/>
        </w:trPr>
        <w:tc>
          <w:tcPr>
            <w:tcW w:w="60" w:type="dxa"/>
            <w:vAlign w:val="bottom"/>
          </w:tcPr>
          <w:p>
            <w:pPr>
              <w:spacing w:after="0"/>
              <w:rPr>
                <w:sz w:val="15"/>
                <w:szCs w:val="15"/>
                <w:color w:val="auto"/>
              </w:rPr>
            </w:pPr>
          </w:p>
        </w:tc>
        <w:tc>
          <w:tcPr>
            <w:tcW w:w="4800" w:type="dxa"/>
            <w:vAlign w:val="bottom"/>
          </w:tcPr>
          <w:p>
            <w:pPr>
              <w:ind w:left="220"/>
              <w:spacing w:after="0"/>
              <w:rPr>
                <w:sz w:val="20"/>
                <w:szCs w:val="20"/>
                <w:color w:val="auto"/>
              </w:rPr>
            </w:pPr>
            <w:r>
              <w:rPr>
                <w:rFonts w:ascii="Arial" w:cs="Arial" w:eastAsia="Arial" w:hAnsi="Arial"/>
                <w:sz w:val="14"/>
                <w:szCs w:val="14"/>
                <w:color w:val="auto"/>
              </w:rPr>
              <w:t>Total Americas</w:t>
            </w:r>
          </w:p>
        </w:tc>
        <w:tc>
          <w:tcPr>
            <w:tcW w:w="2680" w:type="dxa"/>
            <w:vAlign w:val="bottom"/>
          </w:tcPr>
          <w:p>
            <w:pPr>
              <w:spacing w:after="0"/>
              <w:rPr>
                <w:sz w:val="15"/>
                <w:szCs w:val="15"/>
                <w:color w:val="auto"/>
              </w:rPr>
            </w:pPr>
          </w:p>
        </w:tc>
        <w:tc>
          <w:tcPr>
            <w:tcW w:w="1100" w:type="dxa"/>
            <w:vAlign w:val="bottom"/>
          </w:tcPr>
          <w:p>
            <w:pPr>
              <w:spacing w:after="0"/>
              <w:rPr>
                <w:sz w:val="15"/>
                <w:szCs w:val="15"/>
                <w:color w:val="auto"/>
              </w:rPr>
            </w:pPr>
          </w:p>
        </w:tc>
        <w:tc>
          <w:tcPr>
            <w:tcW w:w="320" w:type="dxa"/>
            <w:vAlign w:val="bottom"/>
          </w:tcPr>
          <w:p>
            <w:pPr>
              <w:jc w:val="right"/>
              <w:ind w:right="10"/>
              <w:spacing w:after="0"/>
              <w:rPr>
                <w:sz w:val="20"/>
                <w:szCs w:val="20"/>
                <w:color w:val="auto"/>
              </w:rPr>
            </w:pPr>
            <w:r>
              <w:rPr>
                <w:rFonts w:ascii="Arial" w:cs="Arial" w:eastAsia="Arial" w:hAnsi="Arial"/>
                <w:sz w:val="14"/>
                <w:szCs w:val="14"/>
                <w:color w:val="auto"/>
                <w:w w:val="94"/>
              </w:rPr>
              <w:t>289</w:t>
            </w:r>
          </w:p>
        </w:tc>
        <w:tc>
          <w:tcPr>
            <w:tcW w:w="1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360" w:type="dxa"/>
            <w:vAlign w:val="bottom"/>
          </w:tcPr>
          <w:p>
            <w:pPr>
              <w:jc w:val="right"/>
              <w:ind w:right="31"/>
              <w:spacing w:after="0"/>
              <w:rPr>
                <w:sz w:val="20"/>
                <w:szCs w:val="20"/>
                <w:color w:val="auto"/>
              </w:rPr>
            </w:pPr>
            <w:r>
              <w:rPr>
                <w:rFonts w:ascii="Arial" w:cs="Arial" w:eastAsia="Arial" w:hAnsi="Arial"/>
                <w:sz w:val="14"/>
                <w:szCs w:val="14"/>
                <w:color w:val="auto"/>
              </w:rPr>
              <w:t>269</w:t>
            </w:r>
          </w:p>
        </w:tc>
      </w:tr>
      <w:tr>
        <w:trPr>
          <w:trHeight w:val="190"/>
        </w:trPr>
        <w:tc>
          <w:tcPr>
            <w:tcW w:w="60" w:type="dxa"/>
            <w:vAlign w:val="bottom"/>
          </w:tcPr>
          <w:p>
            <w:pPr>
              <w:spacing w:after="0"/>
              <w:rPr>
                <w:sz w:val="16"/>
                <w:szCs w:val="16"/>
                <w:color w:val="auto"/>
              </w:rPr>
            </w:pPr>
          </w:p>
        </w:tc>
        <w:tc>
          <w:tcPr>
            <w:tcW w:w="4800" w:type="dxa"/>
            <w:vAlign w:val="bottom"/>
            <w:shd w:val="clear" w:color="auto" w:fill="CCEEFF"/>
          </w:tcPr>
          <w:p>
            <w:pPr>
              <w:ind w:left="220"/>
              <w:spacing w:after="0"/>
              <w:rPr>
                <w:sz w:val="20"/>
                <w:szCs w:val="20"/>
                <w:color w:val="auto"/>
              </w:rPr>
            </w:pPr>
            <w:r>
              <w:rPr>
                <w:rFonts w:ascii="Arial" w:cs="Arial" w:eastAsia="Arial" w:hAnsi="Arial"/>
                <w:sz w:val="14"/>
                <w:szCs w:val="14"/>
                <w:color w:val="auto"/>
              </w:rPr>
              <w:t>Europe, Middle East, and Africa</w:t>
            </w:r>
          </w:p>
        </w:tc>
        <w:tc>
          <w:tcPr>
            <w:tcW w:w="2680" w:type="dxa"/>
            <w:vAlign w:val="bottom"/>
            <w:shd w:val="clear" w:color="auto" w:fill="CCEEFF"/>
          </w:tcPr>
          <w:p>
            <w:pPr>
              <w:spacing w:after="0"/>
              <w:rPr>
                <w:sz w:val="16"/>
                <w:szCs w:val="16"/>
                <w:color w:val="auto"/>
              </w:rPr>
            </w:pPr>
          </w:p>
        </w:tc>
        <w:tc>
          <w:tcPr>
            <w:tcW w:w="1100" w:type="dxa"/>
            <w:vAlign w:val="bottom"/>
            <w:shd w:val="clear" w:color="auto" w:fill="CCEEFF"/>
          </w:tcPr>
          <w:p>
            <w:pPr>
              <w:spacing w:after="0"/>
              <w:rPr>
                <w:sz w:val="16"/>
                <w:szCs w:val="16"/>
                <w:color w:val="auto"/>
              </w:rPr>
            </w:pPr>
          </w:p>
        </w:tc>
        <w:tc>
          <w:tcPr>
            <w:tcW w:w="3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70</w:t>
            </w:r>
          </w:p>
        </w:tc>
        <w:tc>
          <w:tcPr>
            <w:tcW w:w="10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360" w:type="dxa"/>
            <w:vAlign w:val="bottom"/>
            <w:shd w:val="clear" w:color="auto" w:fill="CCEEFF"/>
          </w:tcPr>
          <w:p>
            <w:pPr>
              <w:jc w:val="right"/>
              <w:ind w:right="31"/>
              <w:spacing w:after="0"/>
              <w:rPr>
                <w:sz w:val="20"/>
                <w:szCs w:val="20"/>
                <w:color w:val="auto"/>
              </w:rPr>
            </w:pPr>
            <w:r>
              <w:rPr>
                <w:rFonts w:ascii="Arial" w:cs="Arial" w:eastAsia="Arial" w:hAnsi="Arial"/>
                <w:sz w:val="14"/>
                <w:szCs w:val="14"/>
                <w:color w:val="auto"/>
              </w:rPr>
              <w:t>72</w:t>
            </w:r>
          </w:p>
        </w:tc>
      </w:tr>
      <w:tr>
        <w:trPr>
          <w:trHeight w:val="185"/>
        </w:trPr>
        <w:tc>
          <w:tcPr>
            <w:tcW w:w="60" w:type="dxa"/>
            <w:vAlign w:val="bottom"/>
          </w:tcPr>
          <w:p>
            <w:pPr>
              <w:spacing w:after="0"/>
              <w:rPr>
                <w:sz w:val="16"/>
                <w:szCs w:val="16"/>
                <w:color w:val="auto"/>
              </w:rPr>
            </w:pPr>
          </w:p>
        </w:tc>
        <w:tc>
          <w:tcPr>
            <w:tcW w:w="4800" w:type="dxa"/>
            <w:vAlign w:val="bottom"/>
            <w:tcBorders>
              <w:bottom w:val="single" w:sz="8" w:color="CCEEFF"/>
            </w:tcBorders>
          </w:tcPr>
          <w:p>
            <w:pPr>
              <w:ind w:left="220"/>
              <w:spacing w:after="0"/>
              <w:rPr>
                <w:sz w:val="20"/>
                <w:szCs w:val="20"/>
                <w:color w:val="auto"/>
              </w:rPr>
            </w:pPr>
            <w:r>
              <w:rPr>
                <w:rFonts w:ascii="Arial" w:cs="Arial" w:eastAsia="Arial" w:hAnsi="Arial"/>
                <w:sz w:val="14"/>
                <w:szCs w:val="14"/>
                <w:color w:val="auto"/>
              </w:rPr>
              <w:t>Asia Pacific</w:t>
            </w:r>
          </w:p>
        </w:tc>
        <w:tc>
          <w:tcPr>
            <w:tcW w:w="2680" w:type="dxa"/>
            <w:vAlign w:val="bottom"/>
            <w:tcBorders>
              <w:bottom w:val="single" w:sz="8" w:color="CCEEFF"/>
            </w:tcBorders>
          </w:tcPr>
          <w:p>
            <w:pPr>
              <w:spacing w:after="0"/>
              <w:rPr>
                <w:sz w:val="16"/>
                <w:szCs w:val="16"/>
                <w:color w:val="auto"/>
              </w:rPr>
            </w:pPr>
          </w:p>
        </w:tc>
        <w:tc>
          <w:tcPr>
            <w:tcW w:w="1100" w:type="dxa"/>
            <w:vAlign w:val="bottom"/>
            <w:tcBorders>
              <w:bottom w:val="single" w:sz="8" w:color="auto"/>
            </w:tcBorders>
          </w:tcPr>
          <w:p>
            <w:pPr>
              <w:spacing w:after="0"/>
              <w:rPr>
                <w:sz w:val="16"/>
                <w:szCs w:val="16"/>
                <w:color w:val="auto"/>
              </w:rPr>
            </w:pPr>
          </w:p>
        </w:tc>
        <w:tc>
          <w:tcPr>
            <w:tcW w:w="320" w:type="dxa"/>
            <w:vAlign w:val="bottom"/>
            <w:tcBorders>
              <w:bottom w:val="single" w:sz="8" w:color="auto"/>
            </w:tcBorders>
          </w:tcPr>
          <w:p>
            <w:pPr>
              <w:jc w:val="right"/>
              <w:ind w:right="10"/>
              <w:spacing w:after="0"/>
              <w:rPr>
                <w:sz w:val="20"/>
                <w:szCs w:val="20"/>
                <w:color w:val="auto"/>
              </w:rPr>
            </w:pPr>
            <w:r>
              <w:rPr>
                <w:rFonts w:ascii="Arial" w:cs="Arial" w:eastAsia="Arial" w:hAnsi="Arial"/>
                <w:sz w:val="14"/>
                <w:szCs w:val="14"/>
                <w:color w:val="auto"/>
              </w:rPr>
              <w:t>48</w:t>
            </w:r>
          </w:p>
        </w:tc>
        <w:tc>
          <w:tcPr>
            <w:tcW w:w="100" w:type="dxa"/>
            <w:vAlign w:val="bottom"/>
            <w:tcBorders>
              <w:bottom w:val="single" w:sz="8" w:color="CCEEFF"/>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360" w:type="dxa"/>
            <w:vAlign w:val="bottom"/>
            <w:tcBorders>
              <w:bottom w:val="single" w:sz="8" w:color="auto"/>
            </w:tcBorders>
          </w:tcPr>
          <w:p>
            <w:pPr>
              <w:jc w:val="right"/>
              <w:ind w:right="31"/>
              <w:spacing w:after="0"/>
              <w:rPr>
                <w:sz w:val="20"/>
                <w:szCs w:val="20"/>
                <w:color w:val="auto"/>
              </w:rPr>
            </w:pPr>
            <w:r>
              <w:rPr>
                <w:rFonts w:ascii="Arial" w:cs="Arial" w:eastAsia="Arial" w:hAnsi="Arial"/>
                <w:sz w:val="14"/>
                <w:szCs w:val="14"/>
                <w:color w:val="auto"/>
              </w:rPr>
              <w:t>48</w:t>
            </w:r>
          </w:p>
        </w:tc>
      </w:tr>
      <w:tr>
        <w:trPr>
          <w:trHeight w:val="199"/>
        </w:trPr>
        <w:tc>
          <w:tcPr>
            <w:tcW w:w="60" w:type="dxa"/>
            <w:vAlign w:val="bottom"/>
          </w:tcPr>
          <w:p>
            <w:pPr>
              <w:spacing w:after="0"/>
              <w:rPr>
                <w:sz w:val="17"/>
                <w:szCs w:val="17"/>
                <w:color w:val="auto"/>
              </w:rPr>
            </w:pPr>
          </w:p>
        </w:tc>
        <w:tc>
          <w:tcPr>
            <w:tcW w:w="4800" w:type="dxa"/>
            <w:vAlign w:val="bottom"/>
            <w:shd w:val="clear" w:color="auto" w:fill="CCEEFF"/>
          </w:tcPr>
          <w:p>
            <w:pPr>
              <w:spacing w:after="0"/>
              <w:rPr>
                <w:sz w:val="20"/>
                <w:szCs w:val="20"/>
                <w:color w:val="auto"/>
              </w:rPr>
            </w:pPr>
            <w:r>
              <w:rPr>
                <w:rFonts w:ascii="Arial" w:cs="Arial" w:eastAsia="Arial" w:hAnsi="Arial"/>
                <w:sz w:val="14"/>
                <w:szCs w:val="14"/>
                <w:color w:val="auto"/>
              </w:rPr>
              <w:t>Total long-lived assets</w:t>
            </w:r>
          </w:p>
        </w:tc>
        <w:tc>
          <w:tcPr>
            <w:tcW w:w="3780" w:type="dxa"/>
            <w:vAlign w:val="bottom"/>
            <w:gridSpan w:val="2"/>
            <w:shd w:val="clear" w:color="auto" w:fill="CCEEFF"/>
          </w:tcPr>
          <w:p>
            <w:pPr>
              <w:jc w:val="right"/>
              <w:ind w:right="1016"/>
              <w:spacing w:after="0"/>
              <w:rPr>
                <w:sz w:val="20"/>
                <w:szCs w:val="20"/>
                <w:color w:val="auto"/>
              </w:rPr>
            </w:pPr>
            <w:r>
              <w:rPr>
                <w:rFonts w:ascii="Arial" w:cs="Arial" w:eastAsia="Arial" w:hAnsi="Arial"/>
                <w:sz w:val="14"/>
                <w:szCs w:val="14"/>
                <w:color w:val="auto"/>
              </w:rPr>
              <w:t>$</w:t>
            </w:r>
          </w:p>
        </w:tc>
        <w:tc>
          <w:tcPr>
            <w:tcW w:w="3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w w:val="94"/>
              </w:rPr>
              <w:t>407</w:t>
            </w:r>
          </w:p>
        </w:tc>
        <w:tc>
          <w:tcPr>
            <w:tcW w:w="200" w:type="dxa"/>
            <w:vAlign w:val="bottom"/>
            <w:gridSpan w:val="2"/>
            <w:shd w:val="clear" w:color="auto" w:fill="CCEEFF"/>
          </w:tcPr>
          <w:p>
            <w:pPr>
              <w:jc w:val="right"/>
              <w:ind w:right="80"/>
              <w:spacing w:after="0"/>
              <w:rPr>
                <w:sz w:val="20"/>
                <w:szCs w:val="20"/>
                <w:color w:val="auto"/>
              </w:rPr>
            </w:pPr>
            <w:r>
              <w:rPr>
                <w:rFonts w:ascii="Arial" w:cs="Arial" w:eastAsia="Arial" w:hAnsi="Arial"/>
                <w:sz w:val="14"/>
                <w:szCs w:val="14"/>
                <w:color w:val="auto"/>
              </w:rPr>
              <w:t>$</w:t>
            </w:r>
          </w:p>
        </w:tc>
        <w:tc>
          <w:tcPr>
            <w:tcW w:w="1360" w:type="dxa"/>
            <w:vAlign w:val="bottom"/>
            <w:shd w:val="clear" w:color="auto" w:fill="CCEEFF"/>
          </w:tcPr>
          <w:p>
            <w:pPr>
              <w:jc w:val="right"/>
              <w:ind w:right="31"/>
              <w:spacing w:after="0"/>
              <w:rPr>
                <w:sz w:val="20"/>
                <w:szCs w:val="20"/>
                <w:color w:val="auto"/>
              </w:rPr>
            </w:pPr>
            <w:r>
              <w:rPr>
                <w:rFonts w:ascii="Arial" w:cs="Arial" w:eastAsia="Arial" w:hAnsi="Arial"/>
                <w:sz w:val="14"/>
                <w:szCs w:val="14"/>
                <w:color w:val="auto"/>
              </w:rPr>
              <w:t>389</w:t>
            </w:r>
          </w:p>
        </w:tc>
      </w:tr>
      <w:tr>
        <w:trPr>
          <w:trHeight w:val="20"/>
        </w:trPr>
        <w:tc>
          <w:tcPr>
            <w:tcW w:w="60" w:type="dxa"/>
            <w:vAlign w:val="bottom"/>
          </w:tcPr>
          <w:p>
            <w:pPr>
              <w:spacing w:after="0" w:line="20" w:lineRule="exact"/>
              <w:rPr>
                <w:sz w:val="1"/>
                <w:szCs w:val="1"/>
                <w:color w:val="auto"/>
              </w:rPr>
            </w:pPr>
          </w:p>
        </w:tc>
        <w:tc>
          <w:tcPr>
            <w:tcW w:w="4800" w:type="dxa"/>
            <w:vAlign w:val="bottom"/>
            <w:tcBorders>
              <w:top w:val="single" w:sz="8" w:color="CCEEFF"/>
            </w:tcBorders>
          </w:tcPr>
          <w:p>
            <w:pPr>
              <w:spacing w:after="0" w:line="20" w:lineRule="exact"/>
              <w:rPr>
                <w:sz w:val="1"/>
                <w:szCs w:val="1"/>
                <w:color w:val="auto"/>
              </w:rPr>
            </w:pPr>
          </w:p>
        </w:tc>
        <w:tc>
          <w:tcPr>
            <w:tcW w:w="2680" w:type="dxa"/>
            <w:vAlign w:val="bottom"/>
            <w:tcBorders>
              <w:top w:val="single" w:sz="8" w:color="CCEEFF"/>
            </w:tcBorders>
          </w:tcPr>
          <w:p>
            <w:pPr>
              <w:spacing w:after="0" w:line="20" w:lineRule="exact"/>
              <w:rPr>
                <w:sz w:val="1"/>
                <w:szCs w:val="1"/>
                <w:color w:val="auto"/>
              </w:rPr>
            </w:pPr>
          </w:p>
        </w:tc>
        <w:tc>
          <w:tcPr>
            <w:tcW w:w="110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r>
    </w:tbl>
    <w:p>
      <w:pPr>
        <w:spacing w:after="0" w:line="63"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left="400" w:hanging="356"/>
        <w:spacing w:after="0"/>
        <w:tabs>
          <w:tab w:leader="none" w:pos="400" w:val="left"/>
        </w:tabs>
        <w:numPr>
          <w:ilvl w:val="0"/>
          <w:numId w:val="15"/>
        </w:numPr>
        <w:rPr>
          <w:rFonts w:ascii="Arial" w:cs="Arial" w:eastAsia="Arial" w:hAnsi="Arial"/>
          <w:sz w:val="14"/>
          <w:szCs w:val="14"/>
          <w:color w:val="auto"/>
        </w:rPr>
      </w:pPr>
      <w:r>
        <w:rPr>
          <w:rFonts w:ascii="Arial" w:cs="Arial" w:eastAsia="Arial" w:hAnsi="Arial"/>
          <w:sz w:val="14"/>
          <w:szCs w:val="14"/>
          <w:color w:val="auto"/>
        </w:rPr>
        <w:t>Long-lived assets exclude deferred tax assets, marketable securities, goodwill, and intangible assets.</w:t>
      </w:r>
    </w:p>
    <w:p>
      <w:pPr>
        <w:spacing w:after="0" w:line="200" w:lineRule="exact"/>
        <w:rPr>
          <w:rFonts w:ascii="Arial" w:cs="Arial" w:eastAsia="Arial" w:hAnsi="Arial"/>
          <w:sz w:val="14"/>
          <w:szCs w:val="14"/>
          <w:color w:val="auto"/>
        </w:rPr>
      </w:pPr>
    </w:p>
    <w:p>
      <w:pPr>
        <w:spacing w:after="0" w:line="200" w:lineRule="exact"/>
        <w:rPr>
          <w:rFonts w:ascii="Arial" w:cs="Arial" w:eastAsia="Arial" w:hAnsi="Arial"/>
          <w:sz w:val="14"/>
          <w:szCs w:val="14"/>
          <w:color w:val="auto"/>
        </w:rPr>
      </w:pPr>
    </w:p>
    <w:p>
      <w:pPr>
        <w:spacing w:after="0" w:line="308" w:lineRule="exact"/>
        <w:rPr>
          <w:rFonts w:ascii="Arial" w:cs="Arial" w:eastAsia="Arial" w:hAnsi="Arial"/>
          <w:sz w:val="14"/>
          <w:szCs w:val="14"/>
          <w:color w:val="auto"/>
        </w:rPr>
      </w:pPr>
    </w:p>
    <w:p>
      <w:pPr>
        <w:ind w:left="5240"/>
        <w:spacing w:after="0"/>
        <w:rPr>
          <w:rFonts w:ascii="Arial" w:cs="Arial" w:eastAsia="Arial" w:hAnsi="Arial"/>
          <w:sz w:val="14"/>
          <w:szCs w:val="14"/>
          <w:color w:val="auto"/>
        </w:rPr>
      </w:pPr>
      <w:r>
        <w:rPr>
          <w:rFonts w:ascii="Arial" w:cs="Arial" w:eastAsia="Arial" w:hAnsi="Arial"/>
          <w:sz w:val="15"/>
          <w:szCs w:val="15"/>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wp:posOffset>
            </wp:positionH>
            <wp:positionV relativeFrom="paragraph">
              <wp:posOffset>53340</wp:posOffset>
            </wp:positionV>
            <wp:extent cx="6736080" cy="4000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20"/>
          </w:cols>
          <w:pgMar w:left="620" w:top="1222" w:right="660" w:bottom="1440" w:gutter="0" w:footer="0" w:header="0"/>
        </w:sectPr>
      </w:pPr>
    </w:p>
    <w:bookmarkStart w:id="29" w:name="page30"/>
    <w:bookmarkEnd w:id="29"/>
    <w:p>
      <w:pPr>
        <w:spacing w:after="0"/>
        <w:tabs>
          <w:tab w:leader="none" w:pos="1080" w:val="left"/>
        </w:tabs>
        <w:rPr>
          <w:sz w:val="20"/>
          <w:szCs w:val="20"/>
          <w:color w:val="auto"/>
        </w:rPr>
      </w:pPr>
      <w:r>
        <w:rPr>
          <w:rFonts w:ascii="Arial" w:cs="Arial" w:eastAsia="Arial" w:hAnsi="Arial"/>
          <w:sz w:val="15"/>
          <w:szCs w:val="15"/>
          <w:b w:val="1"/>
          <w:bCs w:val="1"/>
          <w:color w:val="auto"/>
        </w:rPr>
        <w:t>ITEM 2.</w:t>
      </w:r>
      <w:r>
        <w:rPr>
          <w:sz w:val="20"/>
          <w:szCs w:val="20"/>
          <w:color w:val="auto"/>
        </w:rPr>
        <w:tab/>
      </w:r>
      <w:r>
        <w:rPr>
          <w:rFonts w:ascii="Arial" w:cs="Arial" w:eastAsia="Arial" w:hAnsi="Arial"/>
          <w:sz w:val="15"/>
          <w:szCs w:val="15"/>
          <w:b w:val="1"/>
          <w:bCs w:val="1"/>
          <w:color w:val="auto"/>
        </w:rPr>
        <w:t>MANAGEMENT’S DISCUSSION AND ANALYSIS OF FINANCIAL CONDITION AND RESULTS OF OPERATIONS</w:t>
      </w:r>
    </w:p>
    <w:p>
      <w:pPr>
        <w:spacing w:after="0" w:line="228" w:lineRule="exact"/>
        <w:rPr>
          <w:sz w:val="20"/>
          <w:szCs w:val="20"/>
          <w:color w:val="auto"/>
        </w:rPr>
      </w:pPr>
    </w:p>
    <w:p>
      <w:pPr>
        <w:ind w:firstLine="169"/>
        <w:spacing w:after="0" w:line="230" w:lineRule="auto"/>
        <w:rPr>
          <w:sz w:val="20"/>
          <w:szCs w:val="20"/>
          <w:color w:val="auto"/>
        </w:rPr>
      </w:pPr>
      <w:r>
        <w:rPr>
          <w:rFonts w:ascii="Arial" w:cs="Arial" w:eastAsia="Arial" w:hAnsi="Arial"/>
          <w:sz w:val="15"/>
          <w:szCs w:val="15"/>
          <w:i w:val="1"/>
          <w:iCs w:val="1"/>
          <w:color w:val="auto"/>
        </w:rPr>
        <w:t xml:space="preserve">The discussion in our MD&amp;A and elsewhere in this Form 10-Q contains trend analyses and other forward-looking statements within the meaning of Section 27A of the Securities Act of 1933 and Section 21E of the Securities Exchange Act of 1934. Forward-looking statements are any statements that look to future events and consist of, among other things, our business strategies, including those discussed in “Strategy,” “Overview of the Three Months Ended April 30, 2023,” and in </w:t>
      </w:r>
      <w:r>
        <w:rPr>
          <w:rFonts w:ascii="Arial" w:cs="Arial" w:eastAsia="Arial" w:hAnsi="Arial"/>
          <w:sz w:val="15"/>
          <w:szCs w:val="15"/>
          <w:i w:val="1"/>
          <w:iCs w:val="1"/>
          <w:color w:val="212529"/>
        </w:rPr>
        <w:t>“Results of Operations-Overview.”</w:t>
      </w:r>
      <w:r>
        <w:rPr>
          <w:rFonts w:ascii="Arial" w:cs="Arial" w:eastAsia="Arial" w:hAnsi="Arial"/>
          <w:sz w:val="15"/>
          <w:szCs w:val="15"/>
          <w:i w:val="1"/>
          <w:iCs w:val="1"/>
          <w:color w:val="auto"/>
        </w:rPr>
        <w:t xml:space="preserve"> Examples of such forward-looking statements may relate to items such as future net revenue, operating expenses, recurring revenue, net revenue retention rate, cash flow, remaining performance obligations, and other future financial results (by product type and geography); the transition to annual billings for multi-year contracts; the effectiveness of our efforts to successfully manage transitions to new markets; our ability to increase our subscription base; expected market trends, including the growth of cloud and mobile computing; the availability of credit; the effect of unemployment; the effects of global economic conditions, including from an economic downturn or recession in the United States or in other countries around the world; the effects of revenue recognition; the effects of recently issued accounting standards; expected trends in certain financial metrics, including expenses; expectations regarding our cash needs; the effects of fluctuations in exchange rates and our hedging activities on our financial results; our ability to successfully expand adoption of our products; our ability to gain market acceptance of new business and sales initiatives; the impact of past acquisitions, including our integration efforts and expected synergies; the impact of economic volatility and geopolitical activities in certain countries, particularly emerging economy countries; the timing and amount of purchases under our stock buy -back plan; and the effects of potential non-cash charges on our financial results and the resulting effect on our financial results. In addition, forward-looking statements also consist of statements involving expectations regarding product capability and acceptance, statements regarding our liquidity and short-term and long-term cash requirements, as well as statements involving trend analyses and statements including such words as “may,” “believe,” “could,” “anticipate,” “would,” “might,” “plan,” “expect,” and similar expressions or the negative of these terms or other comparable terminology. These forward-looking statements speak only as of the date of this Quarterly Report on Form 10-Q and are subject to business and economic risks. As such, our actual results could differ materially from those set forth in the forward- looking statements as a result of a number of factors, including those set forth below in Part II, Item 1A, “Risk Factors,” and in our other reports filed with the U.S. Securities and Exchange Commission. We assume no obligation to update the forward-looking statements to reflect events that occur or circumstances that exist after the date on which they were made, except as required by law.</w:t>
      </w:r>
    </w:p>
    <w:p>
      <w:pPr>
        <w:spacing w:after="0" w:line="194"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Note: A glossary of terms used in this Form 10-Q appears at the end of this Item 2.</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Strategy</w:t>
      </w:r>
    </w:p>
    <w:p>
      <w:pPr>
        <w:spacing w:after="0" w:line="234" w:lineRule="exact"/>
        <w:rPr>
          <w:sz w:val="20"/>
          <w:szCs w:val="20"/>
          <w:color w:val="auto"/>
        </w:rPr>
      </w:pPr>
    </w:p>
    <w:p>
      <w:pPr>
        <w:ind w:right="60" w:firstLine="351"/>
        <w:spacing w:after="0" w:line="257" w:lineRule="auto"/>
        <w:rPr>
          <w:sz w:val="20"/>
          <w:szCs w:val="20"/>
          <w:color w:val="auto"/>
        </w:rPr>
      </w:pPr>
      <w:r>
        <w:rPr>
          <w:rFonts w:ascii="Arial" w:cs="Arial" w:eastAsia="Arial" w:hAnsi="Arial"/>
          <w:sz w:val="15"/>
          <w:szCs w:val="15"/>
          <w:color w:val="auto"/>
        </w:rPr>
        <w:t>Autodesk is changing how the world is designed and made. Our technology spans architecture, engineering, construction, product design, manufacturing, media and entertainment, empowering innovators everywhere to solve challenges big and small. From greener buildings to smarter products to more mesmerizing blockbusters, Autodesk technology helps our customers to design and make a better world for all.</w:t>
      </w:r>
    </w:p>
    <w:p>
      <w:pPr>
        <w:spacing w:after="0" w:line="196" w:lineRule="exact"/>
        <w:rPr>
          <w:sz w:val="20"/>
          <w:szCs w:val="20"/>
          <w:color w:val="auto"/>
        </w:rPr>
      </w:pPr>
    </w:p>
    <w:p>
      <w:pPr>
        <w:jc w:val="both"/>
        <w:ind w:right="40" w:firstLine="351"/>
        <w:spacing w:after="0" w:line="257" w:lineRule="auto"/>
        <w:rPr>
          <w:sz w:val="20"/>
          <w:szCs w:val="20"/>
          <w:color w:val="auto"/>
        </w:rPr>
      </w:pPr>
      <w:r>
        <w:rPr>
          <w:rFonts w:ascii="Arial" w:cs="Arial" w:eastAsia="Arial" w:hAnsi="Arial"/>
          <w:sz w:val="15"/>
          <w:szCs w:val="15"/>
          <w:color w:val="auto"/>
        </w:rPr>
        <w:t>Our strategy is to build enduring customer relationships, delivering innovative technology that provides valuable automation and insight into their design and make processes. To drive the execution of our strategy, we are focused on three strategic priorities: deliver a world-class customer experience, catalyze our customers’ digital transformation, and establish an industry-leading platform for Design and Make.</w:t>
      </w:r>
    </w:p>
    <w:p>
      <w:pPr>
        <w:spacing w:after="0" w:line="196" w:lineRule="exact"/>
        <w:rPr>
          <w:sz w:val="20"/>
          <w:szCs w:val="20"/>
          <w:color w:val="auto"/>
        </w:rPr>
      </w:pPr>
    </w:p>
    <w:p>
      <w:pPr>
        <w:ind w:right="20" w:firstLine="351"/>
        <w:spacing w:after="0" w:line="253" w:lineRule="auto"/>
        <w:rPr>
          <w:sz w:val="20"/>
          <w:szCs w:val="20"/>
          <w:color w:val="auto"/>
        </w:rPr>
      </w:pPr>
      <w:r>
        <w:rPr>
          <w:rFonts w:ascii="Arial" w:cs="Arial" w:eastAsia="Arial" w:hAnsi="Arial"/>
          <w:sz w:val="15"/>
          <w:szCs w:val="15"/>
          <w:color w:val="auto"/>
        </w:rPr>
        <w:t>We equip and inspire our users with the tailored tools, services, and access they need for success today and tomorrow. At every step, we help users harness the power of data to build upon their ideas and explore new ways of imagining, collaborating, and creating to achieve better outcomes for their customers, for society, and for the world. And because creativity can’t flourish in silos, we connect what matters - from steps in a project to collaborators on a unified platform.</w:t>
      </w:r>
    </w:p>
    <w:p>
      <w:pPr>
        <w:spacing w:after="0" w:line="198" w:lineRule="exact"/>
        <w:rPr>
          <w:sz w:val="20"/>
          <w:szCs w:val="20"/>
          <w:color w:val="auto"/>
        </w:rPr>
      </w:pPr>
    </w:p>
    <w:p>
      <w:pPr>
        <w:ind w:right="260" w:firstLine="351"/>
        <w:spacing w:after="0" w:line="253" w:lineRule="auto"/>
        <w:rPr>
          <w:sz w:val="20"/>
          <w:szCs w:val="20"/>
          <w:color w:val="auto"/>
        </w:rPr>
      </w:pPr>
      <w:r>
        <w:rPr>
          <w:rFonts w:ascii="Arial" w:cs="Arial" w:eastAsia="Arial" w:hAnsi="Arial"/>
          <w:sz w:val="15"/>
          <w:szCs w:val="15"/>
          <w:color w:val="auto"/>
        </w:rPr>
        <w:t>Autodesk was founded during the platform transition from mainframe computers and engineering workstations to personal computers. We have developed and sustained a compelling value proposition based on software for the personal computer. Just as the transition from mainframes to personal computers transformed the hardware industry, the software industry has transitioned from developing and selling perpetual licenses and on-premises products to subscriptions and cloud-enabled technologies.</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Product Evolution</w:t>
      </w:r>
    </w:p>
    <w:p>
      <w:pPr>
        <w:spacing w:after="0" w:line="232" w:lineRule="exact"/>
        <w:rPr>
          <w:sz w:val="20"/>
          <w:szCs w:val="20"/>
          <w:color w:val="auto"/>
        </w:rPr>
      </w:pPr>
    </w:p>
    <w:p>
      <w:pPr>
        <w:ind w:right="600" w:firstLine="351"/>
        <w:spacing w:after="0" w:line="271" w:lineRule="auto"/>
        <w:rPr>
          <w:sz w:val="20"/>
          <w:szCs w:val="20"/>
          <w:color w:val="auto"/>
        </w:rPr>
      </w:pPr>
      <w:r>
        <w:rPr>
          <w:rFonts w:ascii="Arial" w:cs="Arial" w:eastAsia="Arial" w:hAnsi="Arial"/>
          <w:sz w:val="15"/>
          <w:szCs w:val="15"/>
          <w:color w:val="auto"/>
        </w:rPr>
        <w:t>We offer subscriptions for individual products and Industry Collections, enterprise business arrangements (“EBAs”), and cloud service offerings (collectively referred to as “subscription plans”). Subscription plans are designed to give our customers</w:t>
      </w:r>
    </w:p>
    <w:p>
      <w:pPr>
        <w:spacing w:after="0" w:line="200" w:lineRule="exact"/>
        <w:rPr>
          <w:sz w:val="20"/>
          <w:szCs w:val="20"/>
          <w:color w:val="auto"/>
        </w:rPr>
      </w:pP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22" w:right="680" w:bottom="1440" w:gutter="0" w:footer="0" w:header="0"/>
        </w:sectPr>
      </w:pPr>
    </w:p>
    <w:bookmarkStart w:id="30" w:name="page31"/>
    <w:bookmarkEnd w:id="30"/>
    <w:p>
      <w:pPr>
        <w:spacing w:after="0"/>
        <w:rPr>
          <w:sz w:val="20"/>
          <w:szCs w:val="20"/>
          <w:color w:val="auto"/>
        </w:rPr>
      </w:pPr>
      <w:r>
        <w:rPr>
          <w:rFonts w:ascii="Arial" w:cs="Arial" w:eastAsia="Arial" w:hAnsi="Arial"/>
          <w:sz w:val="15"/>
          <w:szCs w:val="15"/>
          <w:color w:val="auto"/>
        </w:rPr>
        <w:t>more flexibility with how they use our offerings and to attract a broader range of customers, such as project-based users and small businesses.</w:t>
      </w:r>
    </w:p>
    <w:p>
      <w:pPr>
        <w:spacing w:after="0" w:line="226" w:lineRule="exact"/>
        <w:rPr>
          <w:sz w:val="20"/>
          <w:szCs w:val="20"/>
          <w:color w:val="auto"/>
        </w:rPr>
      </w:pPr>
    </w:p>
    <w:p>
      <w:pPr>
        <w:ind w:right="40" w:firstLine="351"/>
        <w:spacing w:after="0" w:line="251" w:lineRule="auto"/>
        <w:rPr>
          <w:sz w:val="20"/>
          <w:szCs w:val="20"/>
          <w:color w:val="auto"/>
        </w:rPr>
      </w:pPr>
      <w:r>
        <w:rPr>
          <w:rFonts w:ascii="Arial" w:cs="Arial" w:eastAsia="Arial" w:hAnsi="Arial"/>
          <w:sz w:val="15"/>
          <w:szCs w:val="15"/>
          <w:color w:val="auto"/>
        </w:rPr>
        <w:t>Our subscription plans represent a hybrid of desktop software and cloud functionality, which provides a device-independent, collaborative design workflow for designers and their stakeholders. Our cloud offerings, for example, BIM 360, Autodesk Build, Fusion 360, ShotGrid, AutoCAD web app, and AutoCAD mobile app, provide tools, including mobile and collaboration capabilities, to streamline design, collaboration, building and manufacturing, and data management processes. We believe that customer adoption of these latest offerings will continue to grow as customers across a range of industries begin to take advantage of the scalable computing power and flexibility provided through these services.</w:t>
      </w:r>
    </w:p>
    <w:p>
      <w:pPr>
        <w:spacing w:after="0" w:line="199" w:lineRule="exact"/>
        <w:rPr>
          <w:sz w:val="20"/>
          <w:szCs w:val="20"/>
          <w:color w:val="auto"/>
        </w:rPr>
      </w:pPr>
    </w:p>
    <w:p>
      <w:pPr>
        <w:ind w:right="180" w:firstLine="351"/>
        <w:spacing w:after="0" w:line="271" w:lineRule="auto"/>
        <w:rPr>
          <w:sz w:val="20"/>
          <w:szCs w:val="20"/>
          <w:color w:val="auto"/>
        </w:rPr>
      </w:pPr>
      <w:r>
        <w:rPr>
          <w:rFonts w:ascii="Arial" w:cs="Arial" w:eastAsia="Arial" w:hAnsi="Arial"/>
          <w:sz w:val="15"/>
          <w:szCs w:val="15"/>
          <w:color w:val="auto"/>
        </w:rPr>
        <w:t>Industry Collections provide our customers with access to a broader selection of Autodesk solutions and services, simplifying the customers’ ability to benefit from a complete set of tools for their industry.</w:t>
      </w:r>
    </w:p>
    <w:p>
      <w:pPr>
        <w:spacing w:after="0" w:line="185" w:lineRule="exact"/>
        <w:rPr>
          <w:sz w:val="20"/>
          <w:szCs w:val="20"/>
          <w:color w:val="auto"/>
        </w:rPr>
      </w:pPr>
    </w:p>
    <w:p>
      <w:pPr>
        <w:ind w:firstLine="351"/>
        <w:spacing w:after="0" w:line="246" w:lineRule="auto"/>
        <w:rPr>
          <w:sz w:val="20"/>
          <w:szCs w:val="20"/>
          <w:color w:val="auto"/>
        </w:rPr>
      </w:pPr>
      <w:r>
        <w:rPr>
          <w:rFonts w:ascii="Arial" w:cs="Arial" w:eastAsia="Arial" w:hAnsi="Arial"/>
          <w:sz w:val="15"/>
          <w:szCs w:val="15"/>
          <w:color w:val="auto"/>
        </w:rPr>
        <w:t>To support our strategic priority of digital transformation in Architecture, Engineering, and Construction (“AEC”), we are strengthening our AEC solutions’ foundation with both organic and inorganic investments. In fiscal 2023, we acquired a cloud-connected, extended reality (XR) platform enabling AEC professionals to present, collaborate and review projects in immersive and interactive experiences, from anywhere and at any time. This acquisition enables Autodesk to meet increasing needs for augmented reality (AR) and virtual reality (VR) technology advancements within the AEC industry and further support AEC customers throughout the project delivery lifecycle. In fiscal 2022, we acquired Storm UK Holdco Limited, the parent of Innovyze, Inc. (“Innovyze”), which provides water infrastructure software. Combining Innovyze’s hydraulic modeling, simulation, asset performance management and operational analytics solutions with Autodesk’s design and analysis solutions (including Autodesk Civil 3D, Autodesk InfraWorks, and the Autodesk Construction Cloud) enables us to deliver end-to-end, cloud-based solutions for our water infrastructure customers that drive efficiency and sustainability. Other acquisitions in fiscal 2022 include a cloud-based estimating solution that enables construction teams to create estimates, perform digital takeoffs, generate detailed reports and proposals and manage bid-day processes. Additionally, in fiscal 2022, we launched Autodesk Tandem, a cloud- based digital twin technology platform that extends digital project delivery by providing owner/operators with an easy to use, accurate, digital as-built model of a newly built or renovated facility. For owner/operators, this accelerates operational readiness and extends the value of BIM downstream into the owner/operator segment.</w:t>
      </w:r>
    </w:p>
    <w:p>
      <w:pPr>
        <w:spacing w:after="0" w:line="386" w:lineRule="exact"/>
        <w:rPr>
          <w:sz w:val="20"/>
          <w:szCs w:val="20"/>
          <w:color w:val="auto"/>
        </w:rPr>
      </w:pPr>
    </w:p>
    <w:p>
      <w:pPr>
        <w:ind w:right="240" w:firstLine="351"/>
        <w:spacing w:after="0" w:line="249" w:lineRule="auto"/>
        <w:rPr>
          <w:sz w:val="20"/>
          <w:szCs w:val="20"/>
          <w:color w:val="auto"/>
        </w:rPr>
      </w:pPr>
      <w:r>
        <w:rPr>
          <w:rFonts w:ascii="Arial" w:cs="Arial" w:eastAsia="Arial" w:hAnsi="Arial"/>
          <w:sz w:val="15"/>
          <w:szCs w:val="15"/>
          <w:color w:val="auto"/>
        </w:rPr>
        <w:t>In manufacturing, our strategy is to combine organic and acquired software in existing and adjacent verticals to create end-to-end, cloud- based solutions for our customers that drive efficiency and sustainability. We continue to attract global manufacturing leaders and disruptive startups with our generative design and cloud-based Fusion 360 that converges the design process with manufacturing. In fiscal 2023, we acquired a maker of software for optimizing manufacturing processes with automation and digitization from the shop floor upward that provides a real-time system of record for data collection, management, and analysis. In fiscal 2022, we acquired Upchain, an instant-on, cloud-based data management technology that allows product design and manufacturing customers to collaborate in the cloud across their value chains and bring products to market faster.</w:t>
      </w:r>
    </w:p>
    <w:p>
      <w:pPr>
        <w:spacing w:after="0" w:line="203" w:lineRule="exact"/>
        <w:rPr>
          <w:sz w:val="20"/>
          <w:szCs w:val="20"/>
          <w:color w:val="auto"/>
        </w:rPr>
      </w:pPr>
    </w:p>
    <w:p>
      <w:pPr>
        <w:ind w:right="240" w:firstLine="351"/>
        <w:spacing w:after="0" w:line="251" w:lineRule="auto"/>
        <w:rPr>
          <w:sz w:val="20"/>
          <w:szCs w:val="20"/>
          <w:color w:val="auto"/>
        </w:rPr>
      </w:pPr>
      <w:r>
        <w:rPr>
          <w:rFonts w:ascii="Arial" w:cs="Arial" w:eastAsia="Arial" w:hAnsi="Arial"/>
          <w:sz w:val="15"/>
          <w:szCs w:val="15"/>
          <w:color w:val="auto"/>
        </w:rPr>
        <w:t>Our strategy includes improving our product functionality and expanding our product offerings through internal development as well as through the acquisition of products, technology, and businesses. Acquisitions often increase the speed at which we can deliver product functionality to our customers; however, they entail cost and integration challenges and may, in certain instances, negatively impact our operating margins. We continually review these factors in making decisions regarding acquisitions. We anticipate that we will continue to acquire products, technology, and businesses as compelling opportunities become available.</w:t>
      </w:r>
    </w:p>
    <w:p>
      <w:pPr>
        <w:spacing w:after="0" w:line="200" w:lineRule="exact"/>
        <w:rPr>
          <w:sz w:val="20"/>
          <w:szCs w:val="20"/>
          <w:color w:val="auto"/>
        </w:rPr>
      </w:pPr>
    </w:p>
    <w:p>
      <w:pPr>
        <w:spacing w:after="0" w:line="269"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0" w:right="680" w:bottom="1440" w:gutter="0" w:footer="0" w:header="0"/>
        </w:sectPr>
      </w:pPr>
    </w:p>
    <w:bookmarkStart w:id="31" w:name="page32"/>
    <w:bookmarkEnd w:id="31"/>
    <w:p>
      <w:pPr>
        <w:spacing w:after="0" w:line="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Global Reach</w:t>
      </w:r>
    </w:p>
    <w:p>
      <w:pPr>
        <w:spacing w:after="0" w:line="232" w:lineRule="exact"/>
        <w:rPr>
          <w:sz w:val="20"/>
          <w:szCs w:val="20"/>
          <w:color w:val="auto"/>
        </w:rPr>
      </w:pPr>
    </w:p>
    <w:p>
      <w:pPr>
        <w:ind w:right="60" w:firstLine="351"/>
        <w:spacing w:after="0"/>
        <w:rPr>
          <w:sz w:val="20"/>
          <w:szCs w:val="20"/>
          <w:color w:val="auto"/>
        </w:rPr>
      </w:pPr>
      <w:r>
        <w:rPr>
          <w:rFonts w:ascii="Arial" w:cs="Arial" w:eastAsia="Arial" w:hAnsi="Arial"/>
          <w:sz w:val="15"/>
          <w:szCs w:val="15"/>
          <w:color w:val="auto"/>
        </w:rPr>
        <w:t>We sell our products and services globally, through a combination of indirect and direct channels. Our direct channels include internal sales resources focused on selling in our largest accounts, our highly specialized solutions, and business transacted through our online Autodesk branded store. Our indirect channels primarily include value added resellers, direct market resellers, distributors, and other software developers. We have entered into transition agreements with certain of our distributors, including Tech Data, to provide transition distribution activities for a one-to-two -year period, with potential extensions. In connection with the transition agreements, Autodesk intends to increase its selling efforts with value -added resellers and agents. We recently introduced a new transaction model for our token-based Flex offering whereby customers will still receive ongoing support and services from value added resellers but will transact directly with Autodesk. This new transaction model will be expanded with our token-based Flex offering in North America, and certain countries in EMEA and APAC during fiscal 2024. See Part I, Item 1, “Financial Statements,” Note 3, “Revenue Recognition” in the Notes to the Condensed Consolidated Financial Statements for further detail on the results of our indirect and direct channel sales for the three months ended April 30, 2023 and 2022.</w:t>
      </w:r>
    </w:p>
    <w:p>
      <w:pPr>
        <w:spacing w:after="0" w:line="310" w:lineRule="exact"/>
        <w:rPr>
          <w:sz w:val="20"/>
          <w:szCs w:val="20"/>
          <w:color w:val="auto"/>
        </w:rPr>
      </w:pPr>
    </w:p>
    <w:p>
      <w:pPr>
        <w:ind w:right="60" w:firstLine="562"/>
        <w:spacing w:after="0" w:line="234" w:lineRule="auto"/>
        <w:rPr>
          <w:sz w:val="20"/>
          <w:szCs w:val="20"/>
          <w:color w:val="auto"/>
        </w:rPr>
      </w:pPr>
      <w:r>
        <w:rPr>
          <w:rFonts w:ascii="Arial" w:cs="Arial" w:eastAsia="Arial" w:hAnsi="Arial"/>
          <w:sz w:val="15"/>
          <w:szCs w:val="15"/>
          <w:color w:val="auto"/>
        </w:rPr>
        <w:t>We anticipate that our channel mix will continue to change as we scale our business. With the continued growth of our online Autodesk branded store, and the transition to annual billings for multi-year contracts and our new token-based Flex model, we are expanding our transactions with value-added resellers and transacting directly with more end customers without substantial disruption to our revenue. We expect our indirect channel will continue to transact and support a considerable portion of our customers. We also expect our transition to annual billings for multi-year contracts to impact the timing of our billings and cash collections. We employ a variety of incentive programs and promotions to align our direct and indirect channels with our business strategies.</w:t>
      </w:r>
    </w:p>
    <w:p>
      <w:pPr>
        <w:spacing w:after="0" w:line="198" w:lineRule="exact"/>
        <w:rPr>
          <w:sz w:val="20"/>
          <w:szCs w:val="20"/>
          <w:color w:val="auto"/>
        </w:rPr>
      </w:pPr>
    </w:p>
    <w:p>
      <w:pPr>
        <w:ind w:firstLine="351"/>
        <w:spacing w:after="0" w:line="251" w:lineRule="auto"/>
        <w:rPr>
          <w:sz w:val="20"/>
          <w:szCs w:val="20"/>
          <w:color w:val="auto"/>
        </w:rPr>
      </w:pPr>
      <w:r>
        <w:rPr>
          <w:rFonts w:ascii="Arial" w:cs="Arial" w:eastAsia="Arial" w:hAnsi="Arial"/>
          <w:sz w:val="15"/>
          <w:szCs w:val="15"/>
          <w:color w:val="auto"/>
        </w:rPr>
        <w:t>One of our key strategies is to maintain an API based architecture of our software products to facilitate third-party development of complementary products and industry-specific software solutions. This approach enables customers and third parties to customize solutions for a wide variety of highly specific uses. We offer several programs that provide strategic investment funding, technological platforms, user communities, technical support, forums, and events to developers who develop add-on applications for our products. For example, we have established the Autodesk Platform Services to support innovators that build solutions to facilitate the development of a single connected ecosystem for the future of how things are designed, made, and used.</w:t>
      </w:r>
    </w:p>
    <w:p>
      <w:pPr>
        <w:spacing w:after="0" w:line="199" w:lineRule="exact"/>
        <w:rPr>
          <w:sz w:val="20"/>
          <w:szCs w:val="20"/>
          <w:color w:val="auto"/>
        </w:rPr>
      </w:pPr>
    </w:p>
    <w:p>
      <w:pPr>
        <w:ind w:right="300" w:firstLine="351"/>
        <w:spacing w:after="0" w:line="249" w:lineRule="auto"/>
        <w:rPr>
          <w:sz w:val="20"/>
          <w:szCs w:val="20"/>
          <w:color w:val="auto"/>
        </w:rPr>
      </w:pPr>
      <w:r>
        <w:rPr>
          <w:rFonts w:ascii="Arial" w:cs="Arial" w:eastAsia="Arial" w:hAnsi="Arial"/>
          <w:sz w:val="15"/>
          <w:szCs w:val="15"/>
          <w:color w:val="auto"/>
        </w:rPr>
        <w:t>In addition to the competitive advantages afforded by our technology, our large global network of distributors, resellers, third-party developers, customers, educators, educational institutions, learning partners, and students is a key competitive advantage that has been cultivated over an extensive period. This network of partners and relationships provides us with a broad and deep reach into volume markets worldwide. Our distributor and reseller network is extensive and provides our customers with the resources to purchase, deploy, learn, and support our solutions quickly and easily. We have a significant number of registered third-party developers who create products that work well with our solutions and extend them to a variety of specialized applications.</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Impact at Autodesk</w:t>
      </w:r>
    </w:p>
    <w:p>
      <w:pPr>
        <w:spacing w:after="0" w:line="232" w:lineRule="exact"/>
        <w:rPr>
          <w:sz w:val="20"/>
          <w:szCs w:val="20"/>
          <w:color w:val="auto"/>
        </w:rPr>
      </w:pPr>
    </w:p>
    <w:p>
      <w:pPr>
        <w:ind w:left="360"/>
        <w:spacing w:after="0"/>
        <w:rPr>
          <w:sz w:val="20"/>
          <w:szCs w:val="20"/>
          <w:color w:val="auto"/>
        </w:rPr>
      </w:pPr>
      <w:r>
        <w:rPr>
          <w:rFonts w:ascii="Arial" w:cs="Arial" w:eastAsia="Arial" w:hAnsi="Arial"/>
          <w:sz w:val="15"/>
          <w:szCs w:val="15"/>
          <w:color w:val="auto"/>
        </w:rPr>
        <w:t>Autodesk is committed to advancing a more sustainable, resilient, and equitable world. We don’t believe in waiting for progress, we believe in making it.</w:t>
      </w:r>
    </w:p>
    <w:p>
      <w:pPr>
        <w:spacing w:after="0" w:line="13" w:lineRule="exact"/>
        <w:rPr>
          <w:sz w:val="20"/>
          <w:szCs w:val="20"/>
          <w:color w:val="auto"/>
        </w:rPr>
      </w:pPr>
    </w:p>
    <w:p>
      <w:pPr>
        <w:spacing w:after="0"/>
        <w:rPr>
          <w:sz w:val="20"/>
          <w:szCs w:val="20"/>
          <w:color w:val="auto"/>
        </w:rPr>
      </w:pPr>
      <w:r>
        <w:rPr>
          <w:rFonts w:ascii="Arial" w:cs="Arial" w:eastAsia="Arial" w:hAnsi="Arial"/>
          <w:sz w:val="15"/>
          <w:szCs w:val="15"/>
          <w:color w:val="auto"/>
        </w:rPr>
        <w:t>We take action as a business and support our employees, customers, and communities in our collective opportunity to design and make a better world for all.</w:t>
      </w:r>
    </w:p>
    <w:p>
      <w:pPr>
        <w:spacing w:after="0" w:line="216" w:lineRule="exact"/>
        <w:rPr>
          <w:sz w:val="20"/>
          <w:szCs w:val="20"/>
          <w:color w:val="auto"/>
        </w:rPr>
      </w:pPr>
    </w:p>
    <w:p>
      <w:pPr>
        <w:ind w:right="40" w:firstLine="351"/>
        <w:spacing w:after="0" w:line="257" w:lineRule="auto"/>
        <w:rPr>
          <w:sz w:val="20"/>
          <w:szCs w:val="20"/>
          <w:color w:val="auto"/>
        </w:rPr>
      </w:pPr>
      <w:r>
        <w:rPr>
          <w:rFonts w:ascii="Arial" w:cs="Arial" w:eastAsia="Arial" w:hAnsi="Arial"/>
          <w:sz w:val="15"/>
          <w:szCs w:val="15"/>
          <w:color w:val="auto"/>
        </w:rPr>
        <w:t>We focus our efforts to advance positive outcomes across three primary areas: energy and materials, health and resilience, and work and prosperity. These impact opportunity areas are derived from the UN Sustainable Development Goals (“SDGs”) and have been focused through a multi-pronged process to align the top needs of our stakeholders, the important issues of our business, and the areas we are best placed to accelerate positive impact at scale.</w:t>
      </w:r>
    </w:p>
    <w:p>
      <w:pPr>
        <w:spacing w:after="0" w:line="196" w:lineRule="exact"/>
        <w:rPr>
          <w:sz w:val="20"/>
          <w:szCs w:val="20"/>
          <w:color w:val="auto"/>
        </w:rPr>
      </w:pPr>
    </w:p>
    <w:p>
      <w:pPr>
        <w:ind w:right="60" w:firstLine="351"/>
        <w:spacing w:after="0" w:line="253" w:lineRule="auto"/>
        <w:rPr>
          <w:sz w:val="20"/>
          <w:szCs w:val="20"/>
          <w:color w:val="auto"/>
        </w:rPr>
      </w:pPr>
      <w:r>
        <w:rPr>
          <w:rFonts w:ascii="Arial" w:cs="Arial" w:eastAsia="Arial" w:hAnsi="Arial"/>
          <w:sz w:val="15"/>
          <w:szCs w:val="15"/>
          <w:color w:val="auto"/>
        </w:rPr>
        <w:t>These opportunities manifest as outcomes through how our customers leverage our technology to design and make net-zero carbon buildings, resilient infrastructure, more sustainable products, and a thriving workforce. We realize these opportunities through powering our business with 100% renewable energy, neutralizing greenhouse gas emissions and developing an inclusive culture. We advance these opportunities with industry innovators through collaboration, philanthropic capital, software donations, and training.</w:t>
      </w:r>
    </w:p>
    <w:p>
      <w:pPr>
        <w:spacing w:after="0" w:line="198" w:lineRule="exact"/>
        <w:rPr>
          <w:sz w:val="20"/>
          <w:szCs w:val="20"/>
          <w:color w:val="auto"/>
        </w:rPr>
      </w:pPr>
    </w:p>
    <w:p>
      <w:pPr>
        <w:ind w:right="160" w:firstLine="351"/>
        <w:spacing w:after="0" w:line="257" w:lineRule="auto"/>
        <w:rPr>
          <w:sz w:val="20"/>
          <w:szCs w:val="20"/>
          <w:color w:val="auto"/>
        </w:rPr>
      </w:pPr>
      <w:r>
        <w:rPr>
          <w:rFonts w:ascii="Arial" w:cs="Arial" w:eastAsia="Arial" w:hAnsi="Arial"/>
          <w:sz w:val="15"/>
          <w:szCs w:val="15"/>
          <w:color w:val="auto"/>
        </w:rPr>
        <w:t>The Autodesk Foundation (the “Foundation”), a privately funded 501(c)(3) charity organization established and solely funded by us, leads our philanthropic efforts. The purpose of the Foundation is twofold: to support employees to make a better world by matching employees’ volunteer time and/or donations to nonprofit organizations; and to support organizations using</w:t>
      </w:r>
    </w:p>
    <w:p>
      <w:pPr>
        <w:spacing w:after="0" w:line="200" w:lineRule="exact"/>
        <w:rPr>
          <w:sz w:val="20"/>
          <w:szCs w:val="20"/>
          <w:color w:val="auto"/>
        </w:rPr>
      </w:pPr>
    </w:p>
    <w:p>
      <w:pPr>
        <w:spacing w:after="0" w:line="265"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440" w:right="680" w:bottom="1440" w:gutter="0" w:footer="0" w:header="0"/>
        </w:sectPr>
      </w:pPr>
    </w:p>
    <w:bookmarkStart w:id="32" w:name="page33"/>
    <w:bookmarkEnd w:id="32"/>
    <w:p>
      <w:pPr>
        <w:spacing w:after="0" w:line="271" w:lineRule="auto"/>
        <w:rPr>
          <w:sz w:val="20"/>
          <w:szCs w:val="20"/>
          <w:color w:val="auto"/>
        </w:rPr>
      </w:pPr>
      <w:r>
        <w:rPr>
          <w:rFonts w:ascii="Arial" w:cs="Arial" w:eastAsia="Arial" w:hAnsi="Arial"/>
          <w:sz w:val="15"/>
          <w:szCs w:val="15"/>
          <w:color w:val="auto"/>
        </w:rPr>
        <w:t>design to drive positive social and environmental impact. On our behalf, the Foundation also administers a discounted software donation program to nonprofit organizations, social and environmental entrepreneurs, and others who are developing design solutions that will shape a more sustainable future.</w:t>
      </w:r>
    </w:p>
    <w:p>
      <w:pPr>
        <w:spacing w:after="0" w:line="185" w:lineRule="exact"/>
        <w:rPr>
          <w:sz w:val="20"/>
          <w:szCs w:val="20"/>
          <w:color w:val="auto"/>
        </w:rPr>
      </w:pPr>
    </w:p>
    <w:p>
      <w:pPr>
        <w:ind w:right="980" w:firstLine="351"/>
        <w:spacing w:after="0" w:line="271" w:lineRule="auto"/>
        <w:rPr>
          <w:sz w:val="20"/>
          <w:szCs w:val="20"/>
          <w:color w:val="auto"/>
        </w:rPr>
      </w:pPr>
      <w:r>
        <w:rPr>
          <w:rFonts w:ascii="Arial" w:cs="Arial" w:eastAsia="Arial" w:hAnsi="Arial"/>
          <w:sz w:val="15"/>
          <w:szCs w:val="15"/>
          <w:color w:val="auto"/>
        </w:rPr>
        <w:t>Additional information about our environmental, social, and governance program is available in our annual impact report on our website at www.autodesk.com. Information contained on or accessible through our website is not part of or incorporated by reference into this report.</w:t>
      </w:r>
    </w:p>
    <w:p>
      <w:pPr>
        <w:spacing w:after="0" w:line="179"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Assumptions Behind Our Strategy</w:t>
      </w:r>
    </w:p>
    <w:p>
      <w:pPr>
        <w:spacing w:after="0" w:line="232" w:lineRule="exact"/>
        <w:rPr>
          <w:sz w:val="20"/>
          <w:szCs w:val="20"/>
          <w:color w:val="auto"/>
        </w:rPr>
      </w:pPr>
    </w:p>
    <w:p>
      <w:pPr>
        <w:ind w:right="60" w:firstLine="387"/>
        <w:spacing w:after="0" w:line="251" w:lineRule="auto"/>
        <w:rPr>
          <w:sz w:val="20"/>
          <w:szCs w:val="20"/>
          <w:color w:val="auto"/>
        </w:rPr>
      </w:pPr>
      <w:r>
        <w:rPr>
          <w:rFonts w:ascii="Arial" w:cs="Arial" w:eastAsia="Arial" w:hAnsi="Arial"/>
          <w:sz w:val="15"/>
          <w:szCs w:val="15"/>
          <w:color w:val="auto"/>
        </w:rPr>
        <w:t>Our strategy depends upon many assumptions, including: making our technology available to mainstream markets; leveraging our large global network of distributors, resellers, agents, third-party developers, customers, educators, educational institutions, learning partners, and students; improving the performance and functionality of our products and platform; and adequately protecting our intellectual property. If the outcome of any of these assumptions differs from our expectations, we may not be able to implement our strategy, which could potentially adversely affect our business. For further discussion regarding these and related risks, see Part II, Item 1A, “Risk Factors.”</w:t>
      </w:r>
    </w:p>
    <w:p>
      <w:pPr>
        <w:spacing w:after="0" w:line="191"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Critical Accounting Policies and Estimates</w:t>
      </w:r>
    </w:p>
    <w:p>
      <w:pPr>
        <w:spacing w:after="0" w:line="234" w:lineRule="exact"/>
        <w:rPr>
          <w:sz w:val="20"/>
          <w:szCs w:val="20"/>
          <w:color w:val="auto"/>
        </w:rPr>
      </w:pPr>
    </w:p>
    <w:p>
      <w:pPr>
        <w:ind w:right="80" w:firstLine="387"/>
        <w:spacing w:after="0" w:line="249" w:lineRule="auto"/>
        <w:rPr>
          <w:sz w:val="20"/>
          <w:szCs w:val="20"/>
          <w:color w:val="auto"/>
        </w:rPr>
      </w:pPr>
      <w:r>
        <w:rPr>
          <w:rFonts w:ascii="Arial" w:cs="Arial" w:eastAsia="Arial" w:hAnsi="Arial"/>
          <w:sz w:val="15"/>
          <w:szCs w:val="15"/>
          <w:color w:val="auto"/>
        </w:rPr>
        <w:t>Our Condensed Consolidated Financial Statements are prepared in conformity with U.S. generally accepted accounting principles (“GAAP”). In preparing our Condensed Consolidated Financial Statements, we make assumptions, judgments, and estimates that can have a significant impact on amounts reported in our Condensed Consolidated Financial Statements. We evaluate our estimates and assumptions on an ongoing basis. We base our assumptions, judgments, and estimates on historical experience and various other factors that we believe to be reasonable under the circumstances. Actual results could differ materially from these estimates under different assumptions or conditions. Our significant accounting policies are described in Item 8, “Financial Statements and Supplementary Data,” Note 1, “Business and Summary of Significant Accounting Policies,” in the Notes to Consolidated Financial Statements in our Form 10-K for the fiscal year ended January 31, 2023.</w:t>
      </w:r>
    </w:p>
    <w:p>
      <w:pPr>
        <w:spacing w:after="0" w:line="200" w:lineRule="exact"/>
        <w:rPr>
          <w:sz w:val="20"/>
          <w:szCs w:val="20"/>
          <w:color w:val="auto"/>
        </w:rPr>
      </w:pPr>
    </w:p>
    <w:p>
      <w:pPr>
        <w:ind w:right="60" w:firstLine="387"/>
        <w:spacing w:after="0" w:line="249" w:lineRule="auto"/>
        <w:rPr>
          <w:sz w:val="20"/>
          <w:szCs w:val="20"/>
          <w:color w:val="auto"/>
        </w:rPr>
      </w:pPr>
      <w:r>
        <w:rPr>
          <w:rFonts w:ascii="Arial" w:cs="Arial" w:eastAsia="Arial" w:hAnsi="Arial"/>
          <w:sz w:val="15"/>
          <w:szCs w:val="15"/>
          <w:color w:val="auto"/>
        </w:rPr>
        <w:t>An accounting policy is deemed to be critical if it requires an accounting estimate to be made based on assumptions about matters that are highly uncertain at the time the estimate is made, if different estimates reasonably could have been used, or if changes in the estimate that are reasonably possible could materially impact the financial statements. We highlighted those policies that involve a higher degree of judgment and complexity with further discussion in Item 7, “Management’s Discussion and Analysis of Financial Condition and Results of Operations,” in our Form 10- K. There have been no material changes to our critical accounting policies and estimates during the three months ended April 30, 2023, as compared to those disclosed in our Form 10-K for the fiscal year ended January 31, 2023. We believe these policies are the most critical to aid in fully understanding and evaluating our financial condition and results of operations.</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Overview of the Three Months Ended April 30, 2023</w:t>
      </w:r>
    </w:p>
    <w:p>
      <w:pPr>
        <w:spacing w:after="0" w:line="175" w:lineRule="exact"/>
        <w:rPr>
          <w:sz w:val="20"/>
          <w:szCs w:val="20"/>
          <w:color w:val="auto"/>
        </w:rPr>
      </w:pPr>
    </w:p>
    <w:p>
      <w:pPr>
        <w:ind w:left="560" w:hanging="275"/>
        <w:spacing w:after="0"/>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Total net revenue increased 8% to $1,269 million for the three months ended April 30, 2023, compared to the same period in the prior fiscal year.</w:t>
      </w:r>
    </w:p>
    <w:p>
      <w:pPr>
        <w:spacing w:after="0" w:line="50" w:lineRule="exact"/>
        <w:rPr>
          <w:rFonts w:ascii="Arial" w:cs="Arial" w:eastAsia="Arial" w:hAnsi="Arial"/>
          <w:sz w:val="15"/>
          <w:szCs w:val="15"/>
          <w:color w:val="auto"/>
        </w:rPr>
      </w:pPr>
    </w:p>
    <w:p>
      <w:pPr>
        <w:ind w:left="560" w:hanging="275"/>
        <w:spacing w:after="0"/>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Recurring revenue as a percentage of net revenue was 98% for both the three months ended April 30, 2023, and 2022.</w:t>
      </w:r>
    </w:p>
    <w:p>
      <w:pPr>
        <w:spacing w:after="0" w:line="50" w:lineRule="exact"/>
        <w:rPr>
          <w:rFonts w:ascii="Arial" w:cs="Arial" w:eastAsia="Arial" w:hAnsi="Arial"/>
          <w:sz w:val="15"/>
          <w:szCs w:val="15"/>
          <w:color w:val="auto"/>
        </w:rPr>
      </w:pPr>
    </w:p>
    <w:p>
      <w:pPr>
        <w:ind w:left="560" w:right="80" w:hanging="275"/>
        <w:spacing w:after="0" w:line="271" w:lineRule="auto"/>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Net revenue retention rate (“NR3”) was within the range of 100% and 110%, on a constant currency basis, for both the three months ended April 30, 2023 and 2022.</w:t>
      </w:r>
    </w:p>
    <w:p>
      <w:pPr>
        <w:spacing w:after="0" w:line="8" w:lineRule="exact"/>
        <w:rPr>
          <w:rFonts w:ascii="Arial" w:cs="Arial" w:eastAsia="Arial" w:hAnsi="Arial"/>
          <w:sz w:val="15"/>
          <w:szCs w:val="15"/>
          <w:color w:val="auto"/>
        </w:rPr>
      </w:pPr>
    </w:p>
    <w:p>
      <w:pPr>
        <w:ind w:left="560" w:hanging="275"/>
        <w:spacing w:after="0"/>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Deferred revenue was $4.48 billion, a decrease of 2% compared to the fourth quarter in the prior fiscal year.</w:t>
      </w:r>
    </w:p>
    <w:p>
      <w:pPr>
        <w:spacing w:after="0" w:line="50" w:lineRule="exact"/>
        <w:rPr>
          <w:rFonts w:ascii="Arial" w:cs="Arial" w:eastAsia="Arial" w:hAnsi="Arial"/>
          <w:sz w:val="15"/>
          <w:szCs w:val="15"/>
          <w:color w:val="auto"/>
        </w:rPr>
      </w:pPr>
    </w:p>
    <w:p>
      <w:pPr>
        <w:ind w:left="560" w:right="600" w:hanging="275"/>
        <w:spacing w:after="0" w:line="271" w:lineRule="auto"/>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Remaining performance obligations (short-term and long-term deferred revenue plus unbilled deferred revenue) (“RPO”) was $5.39 billion, a decrease of 4% compared to the fourth quarter in the prior fiscal year.</w:t>
      </w:r>
    </w:p>
    <w:p>
      <w:pPr>
        <w:spacing w:after="0" w:line="8" w:lineRule="exact"/>
        <w:rPr>
          <w:rFonts w:ascii="Arial" w:cs="Arial" w:eastAsia="Arial" w:hAnsi="Arial"/>
          <w:sz w:val="15"/>
          <w:szCs w:val="15"/>
          <w:color w:val="auto"/>
        </w:rPr>
      </w:pPr>
    </w:p>
    <w:p>
      <w:pPr>
        <w:ind w:left="560" w:hanging="275"/>
        <w:spacing w:after="0"/>
        <w:tabs>
          <w:tab w:leader="none" w:pos="560" w:val="left"/>
        </w:tabs>
        <w:numPr>
          <w:ilvl w:val="0"/>
          <w:numId w:val="16"/>
        </w:numPr>
        <w:rPr>
          <w:rFonts w:ascii="Arial" w:cs="Arial" w:eastAsia="Arial" w:hAnsi="Arial"/>
          <w:sz w:val="15"/>
          <w:szCs w:val="15"/>
          <w:color w:val="auto"/>
        </w:rPr>
      </w:pPr>
      <w:r>
        <w:rPr>
          <w:rFonts w:ascii="Arial" w:cs="Arial" w:eastAsia="Arial" w:hAnsi="Arial"/>
          <w:sz w:val="15"/>
          <w:szCs w:val="15"/>
          <w:color w:val="auto"/>
        </w:rPr>
        <w:t>Current remaining performance obligations was $3.51 billion, flat compared to the fourth quarter in the prior fiscal year.</w:t>
      </w:r>
    </w:p>
    <w:p>
      <w:pPr>
        <w:spacing w:after="0" w:line="200" w:lineRule="exact"/>
        <w:rPr>
          <w:sz w:val="20"/>
          <w:szCs w:val="20"/>
          <w:color w:val="auto"/>
        </w:rPr>
      </w:pPr>
    </w:p>
    <w:p>
      <w:pPr>
        <w:spacing w:after="0" w:line="342"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33" w:name="page34"/>
    <w:bookmarkEnd w:id="33"/>
    <w:p>
      <w:pPr>
        <w:spacing w:after="0" w:line="7"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Revenue Analysis</w:t>
      </w:r>
    </w:p>
    <w:p>
      <w:pPr>
        <w:spacing w:after="0" w:line="232" w:lineRule="exact"/>
        <w:rPr>
          <w:sz w:val="20"/>
          <w:szCs w:val="20"/>
          <w:color w:val="auto"/>
        </w:rPr>
      </w:pPr>
    </w:p>
    <w:p>
      <w:pPr>
        <w:ind w:right="40" w:firstLine="351"/>
        <w:spacing w:after="0" w:line="237" w:lineRule="auto"/>
        <w:rPr>
          <w:sz w:val="20"/>
          <w:szCs w:val="20"/>
          <w:color w:val="auto"/>
        </w:rPr>
      </w:pPr>
      <w:r>
        <w:rPr>
          <w:rFonts w:ascii="Arial" w:cs="Arial" w:eastAsia="Arial" w:hAnsi="Arial"/>
          <w:sz w:val="15"/>
          <w:szCs w:val="15"/>
          <w:color w:val="auto"/>
        </w:rPr>
        <w:t>With a more challenging macroeconomic environment, foreign exchange rate fluctuations and the decline in operations in Russia, net revenue increased 8% during the three months ended April 30, 2023, as compared to the same period in the prior fiscal year, primarily due to a 10% increase in subscription revenue, partially offset by a 22% decrease in maintenance revenue. New subscription growth decelerated while renewal rates improved quarter over quarter such that current remaining performance obligations grew 12%, the same rate as for the three months ended January 31, 2023.</w:t>
      </w:r>
    </w:p>
    <w:p>
      <w:pPr>
        <w:spacing w:after="0" w:line="197" w:lineRule="exact"/>
        <w:rPr>
          <w:sz w:val="20"/>
          <w:szCs w:val="20"/>
          <w:color w:val="auto"/>
        </w:rPr>
      </w:pPr>
    </w:p>
    <w:p>
      <w:pPr>
        <w:ind w:left="360"/>
        <w:spacing w:after="0"/>
        <w:rPr>
          <w:sz w:val="20"/>
          <w:szCs w:val="20"/>
          <w:color w:val="auto"/>
        </w:rPr>
      </w:pPr>
      <w:r>
        <w:rPr>
          <w:rFonts w:ascii="Arial" w:cs="Arial" w:eastAsia="Arial" w:hAnsi="Arial"/>
          <w:sz w:val="15"/>
          <w:szCs w:val="15"/>
          <w:color w:val="auto"/>
        </w:rPr>
        <w:t>For further discussion of the drivers of these results, see below under the heading “Results of Operations.”</w:t>
      </w:r>
    </w:p>
    <w:p>
      <w:pPr>
        <w:spacing w:after="0" w:line="214" w:lineRule="exact"/>
        <w:rPr>
          <w:sz w:val="20"/>
          <w:szCs w:val="20"/>
          <w:color w:val="auto"/>
        </w:rPr>
      </w:pPr>
    </w:p>
    <w:p>
      <w:pPr>
        <w:ind w:right="80" w:firstLine="351"/>
        <w:spacing w:after="0" w:line="249" w:lineRule="auto"/>
        <w:rPr>
          <w:sz w:val="20"/>
          <w:szCs w:val="20"/>
          <w:color w:val="auto"/>
        </w:rPr>
      </w:pPr>
      <w:r>
        <w:rPr>
          <w:rFonts w:ascii="Arial" w:cs="Arial" w:eastAsia="Arial" w:hAnsi="Arial"/>
          <w:sz w:val="15"/>
          <w:szCs w:val="15"/>
          <w:color w:val="auto"/>
        </w:rPr>
        <w:t>We rely significantly upon major distributors and resellers in both the U.S. and international regions, including Tech Data Corporation and its global affiliates (collectively, “Tech Data”) and Ingram Micro Inc. (“Ingram Micro”). Total sales to Tech Data accounted for 40% and 36% of our total net revenue for the three months ended April 30, 2023 and 2022, respectively. Ingram Micro accounted for 8% and 9% of Autodesk's total net revenue during the three months ended April 30, 2023 and 2022, respectively. Our customers through Tech Data and Ingram Micro are the resellers and end users who purchase our software subscriptions and services. We entered into transition agreements with certain of our distributors, including Tech Data and Ingram Micro, to provide transition distribution activities for a one- to-two-year period, with potential extensions. In connection with the transition agreements, we intend to increase our selling efforts with value-added resellers and agents. Consequently, we believe our business is not substantially dependent on Tech Data or Ingram Micro.</w:t>
      </w:r>
    </w:p>
    <w:p>
      <w:pPr>
        <w:spacing w:after="0" w:line="194"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Recurring Revenue and Net Revenue Retention Rate</w:t>
      </w:r>
    </w:p>
    <w:p>
      <w:pPr>
        <w:spacing w:after="0" w:line="232"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In order to help better understand our financial performance, we use several key performance metrics including recurring revenue and NR3. These metrics are key performance metrics and should be viewed independently of revenue and deferred revenue as these metrics are not intended to be combined with those items. We use these metrics to monitor the strength of our recurring business. We believe these metrics are useful to investors because they can help in monitoring the long-term health of our business. Our determination and presentation of these metrics may differ from that of other companies. The presentation of these metrics is meant to be considered in addition to, not as a substitute for or in isolation from, our financial measures prepared in accordance with GAAP. Please refer to the Glossary of Terms for the definitions of these metrics.</w:t>
      </w:r>
    </w:p>
    <w:p>
      <w:pPr>
        <w:spacing w:after="0" w:line="203" w:lineRule="exact"/>
        <w:rPr>
          <w:sz w:val="20"/>
          <w:szCs w:val="20"/>
          <w:color w:val="auto"/>
        </w:rPr>
      </w:pPr>
    </w:p>
    <w:p>
      <w:pPr>
        <w:ind w:left="360"/>
        <w:spacing w:after="0"/>
        <w:rPr>
          <w:sz w:val="20"/>
          <w:szCs w:val="20"/>
          <w:color w:val="auto"/>
        </w:rPr>
      </w:pPr>
      <w:r>
        <w:rPr>
          <w:rFonts w:ascii="Arial" w:cs="Arial" w:eastAsia="Arial" w:hAnsi="Arial"/>
          <w:sz w:val="15"/>
          <w:szCs w:val="15"/>
          <w:color w:val="auto"/>
        </w:rPr>
        <w:t>The following table outlines our recurring revenue metric for the three months ended April 30, 2023 and 2022:</w:t>
      </w:r>
    </w:p>
    <w:p>
      <w:pPr>
        <w:spacing w:after="0" w:line="84" w:lineRule="exact"/>
        <w:rPr>
          <w:sz w:val="20"/>
          <w:szCs w:val="20"/>
          <w:color w:val="auto"/>
        </w:rPr>
      </w:pPr>
    </w:p>
    <w:tbl>
      <w:tblPr>
        <w:tblLayout w:type="fixed"/>
        <w:tblInd w:w="40" w:type="dxa"/>
        <w:tblCellMar>
          <w:top w:w="0" w:type="dxa"/>
          <w:left w:w="0" w:type="dxa"/>
          <w:bottom w:w="0" w:type="dxa"/>
          <w:right w:w="0" w:type="dxa"/>
        </w:tblCellMar>
      </w:tblPr>
      <w:tr>
        <w:trPr>
          <w:trHeight w:val="149"/>
        </w:trPr>
        <w:tc>
          <w:tcPr>
            <w:tcW w:w="50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20" w:type="dxa"/>
            <w:vAlign w:val="bottom"/>
            <w:gridSpan w:val="2"/>
            <w:vMerge w:val="restart"/>
          </w:tcPr>
          <w:p>
            <w:pPr>
              <w:jc w:val="center"/>
              <w:ind w:right="220"/>
              <w:spacing w:after="0"/>
              <w:rPr>
                <w:sz w:val="20"/>
                <w:szCs w:val="20"/>
                <w:color w:val="auto"/>
              </w:rPr>
            </w:pPr>
            <w:r>
              <w:rPr>
                <w:rFonts w:ascii="Arial" w:cs="Arial" w:eastAsia="Arial" w:hAnsi="Arial"/>
                <w:sz w:val="13"/>
                <w:szCs w:val="13"/>
                <w:b w:val="1"/>
                <w:bCs w:val="1"/>
                <w:color w:val="auto"/>
                <w:w w:val="98"/>
              </w:rPr>
              <w:t>Three Months</w:t>
            </w:r>
          </w:p>
        </w:tc>
        <w:tc>
          <w:tcPr>
            <w:tcW w:w="34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500" w:type="dxa"/>
            <w:vAlign w:val="bottom"/>
            <w:gridSpan w:val="3"/>
          </w:tcPr>
          <w:p>
            <w:pPr>
              <w:jc w:val="center"/>
              <w:ind w:right="76"/>
              <w:spacing w:after="0"/>
              <w:rPr>
                <w:sz w:val="20"/>
                <w:szCs w:val="20"/>
                <w:color w:val="auto"/>
              </w:rPr>
            </w:pPr>
            <w:r>
              <w:rPr>
                <w:rFonts w:ascii="Arial" w:cs="Arial" w:eastAsia="Arial" w:hAnsi="Arial"/>
                <w:sz w:val="13"/>
                <w:szCs w:val="13"/>
                <w:b w:val="1"/>
                <w:bCs w:val="1"/>
                <w:color w:val="auto"/>
                <w:w w:val="98"/>
              </w:rPr>
              <w:t>Change compared to</w:t>
            </w:r>
          </w:p>
        </w:tc>
        <w:tc>
          <w:tcPr>
            <w:tcW w:w="5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140" w:type="dxa"/>
            <w:vAlign w:val="bottom"/>
            <w:vMerge w:val="restart"/>
          </w:tcPr>
          <w:p>
            <w:pPr>
              <w:jc w:val="center"/>
              <w:ind w:right="53"/>
              <w:spacing w:after="0"/>
              <w:rPr>
                <w:sz w:val="20"/>
                <w:szCs w:val="20"/>
                <w:color w:val="auto"/>
              </w:rPr>
            </w:pPr>
            <w:r>
              <w:rPr>
                <w:rFonts w:ascii="Arial" w:cs="Arial" w:eastAsia="Arial" w:hAnsi="Arial"/>
                <w:sz w:val="13"/>
                <w:szCs w:val="13"/>
                <w:b w:val="1"/>
                <w:bCs w:val="1"/>
                <w:color w:val="auto"/>
              </w:rPr>
              <w:t>Three Months</w:t>
            </w:r>
          </w:p>
        </w:tc>
        <w:tc>
          <w:tcPr>
            <w:tcW w:w="0" w:type="dxa"/>
            <w:vAlign w:val="bottom"/>
          </w:tcPr>
          <w:p>
            <w:pPr>
              <w:spacing w:after="0"/>
              <w:rPr>
                <w:sz w:val="1"/>
                <w:szCs w:val="1"/>
                <w:color w:val="auto"/>
              </w:rPr>
            </w:pPr>
          </w:p>
        </w:tc>
      </w:tr>
      <w:tr>
        <w:trPr>
          <w:trHeight w:val="129"/>
        </w:trPr>
        <w:tc>
          <w:tcPr>
            <w:tcW w:w="50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20" w:type="dxa"/>
            <w:vAlign w:val="bottom"/>
            <w:gridSpan w:val="2"/>
            <w:vMerge w:val="continue"/>
          </w:tcPr>
          <w:p>
            <w:pPr>
              <w:spacing w:after="0"/>
              <w:rPr>
                <w:sz w:val="11"/>
                <w:szCs w:val="11"/>
                <w:color w:val="auto"/>
              </w:rPr>
            </w:pPr>
          </w:p>
        </w:tc>
        <w:tc>
          <w:tcPr>
            <w:tcW w:w="34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1500" w:type="dxa"/>
            <w:vAlign w:val="bottom"/>
            <w:gridSpan w:val="3"/>
          </w:tcPr>
          <w:p>
            <w:pPr>
              <w:jc w:val="center"/>
              <w:ind w:right="76"/>
              <w:spacing w:after="0" w:line="129" w:lineRule="exact"/>
              <w:rPr>
                <w:sz w:val="20"/>
                <w:szCs w:val="20"/>
                <w:color w:val="auto"/>
              </w:rPr>
            </w:pPr>
            <w:r>
              <w:rPr>
                <w:rFonts w:ascii="Arial" w:cs="Arial" w:eastAsia="Arial" w:hAnsi="Arial"/>
                <w:sz w:val="13"/>
                <w:szCs w:val="13"/>
                <w:b w:val="1"/>
                <w:bCs w:val="1"/>
                <w:color w:val="auto"/>
                <w:w w:val="99"/>
              </w:rPr>
              <w:t>prior fiscal year</w:t>
            </w:r>
          </w:p>
        </w:tc>
        <w:tc>
          <w:tcPr>
            <w:tcW w:w="5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1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7"/>
        </w:trPr>
        <w:tc>
          <w:tcPr>
            <w:tcW w:w="50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220" w:type="dxa"/>
            <w:vAlign w:val="bottom"/>
            <w:gridSpan w:val="2"/>
            <w:vMerge w:val="restart"/>
          </w:tcPr>
          <w:p>
            <w:pPr>
              <w:jc w:val="center"/>
              <w:ind w:right="220"/>
              <w:spacing w:after="0" w:line="129" w:lineRule="exact"/>
              <w:rPr>
                <w:sz w:val="20"/>
                <w:szCs w:val="20"/>
                <w:color w:val="auto"/>
              </w:rPr>
            </w:pPr>
            <w:r>
              <w:rPr>
                <w:rFonts w:ascii="Arial" w:cs="Arial" w:eastAsia="Arial" w:hAnsi="Arial"/>
                <w:sz w:val="13"/>
                <w:szCs w:val="13"/>
                <w:b w:val="1"/>
                <w:bCs w:val="1"/>
                <w:color w:val="auto"/>
                <w:w w:val="97"/>
              </w:rPr>
              <w:t>Ended April 30,</w:t>
            </w:r>
          </w:p>
        </w:tc>
        <w:tc>
          <w:tcPr>
            <w:tcW w:w="34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140" w:type="dxa"/>
            <w:vAlign w:val="bottom"/>
            <w:vMerge w:val="restart"/>
          </w:tcPr>
          <w:p>
            <w:pPr>
              <w:jc w:val="center"/>
              <w:ind w:right="53"/>
              <w:spacing w:after="0" w:line="129" w:lineRule="exact"/>
              <w:rPr>
                <w:sz w:val="20"/>
                <w:szCs w:val="20"/>
                <w:color w:val="auto"/>
              </w:rPr>
            </w:pPr>
            <w:r>
              <w:rPr>
                <w:rFonts w:ascii="Arial" w:cs="Arial" w:eastAsia="Arial" w:hAnsi="Arial"/>
                <w:sz w:val="13"/>
                <w:szCs w:val="13"/>
                <w:b w:val="1"/>
                <w:bCs w:val="1"/>
                <w:color w:val="auto"/>
                <w:w w:val="99"/>
              </w:rPr>
              <w:t>Ended April 30,</w:t>
            </w:r>
          </w:p>
        </w:tc>
        <w:tc>
          <w:tcPr>
            <w:tcW w:w="0" w:type="dxa"/>
            <w:vAlign w:val="bottom"/>
          </w:tcPr>
          <w:p>
            <w:pPr>
              <w:spacing w:after="0"/>
              <w:rPr>
                <w:sz w:val="1"/>
                <w:szCs w:val="1"/>
                <w:color w:val="auto"/>
              </w:rPr>
            </w:pPr>
          </w:p>
        </w:tc>
      </w:tr>
      <w:tr>
        <w:trPr>
          <w:trHeight w:val="62"/>
        </w:trPr>
        <w:tc>
          <w:tcPr>
            <w:tcW w:w="5080" w:type="dxa"/>
            <w:vAlign w:val="bottom"/>
            <w:vMerge w:val="restart"/>
          </w:tcPr>
          <w:p>
            <w:pPr>
              <w:ind w:left="20"/>
              <w:spacing w:after="0"/>
              <w:rPr>
                <w:sz w:val="20"/>
                <w:szCs w:val="20"/>
                <w:color w:val="auto"/>
              </w:rPr>
            </w:pPr>
            <w:r>
              <w:rPr>
                <w:rFonts w:ascii="Arial" w:cs="Arial" w:eastAsia="Arial" w:hAnsi="Arial"/>
                <w:sz w:val="13"/>
                <w:szCs w:val="13"/>
                <w:i w:val="1"/>
                <w:iCs w:val="1"/>
                <w:color w:val="auto"/>
              </w:rPr>
              <w:t>(In millions, except percentage data)</w:t>
            </w:r>
          </w:p>
        </w:tc>
        <w:tc>
          <w:tcPr>
            <w:tcW w:w="120" w:type="dxa"/>
            <w:vAlign w:val="bottom"/>
          </w:tcPr>
          <w:p>
            <w:pPr>
              <w:spacing w:after="0"/>
              <w:rPr>
                <w:sz w:val="5"/>
                <w:szCs w:val="5"/>
                <w:color w:val="auto"/>
              </w:rPr>
            </w:pPr>
          </w:p>
        </w:tc>
        <w:tc>
          <w:tcPr>
            <w:tcW w:w="1220" w:type="dxa"/>
            <w:vAlign w:val="bottom"/>
            <w:gridSpan w:val="2"/>
            <w:vMerge w:val="continue"/>
          </w:tcPr>
          <w:p>
            <w:pPr>
              <w:spacing w:after="0"/>
              <w:rPr>
                <w:sz w:val="5"/>
                <w:szCs w:val="5"/>
                <w:color w:val="auto"/>
              </w:rPr>
            </w:pPr>
          </w:p>
        </w:tc>
        <w:tc>
          <w:tcPr>
            <w:tcW w:w="340" w:type="dxa"/>
            <w:vAlign w:val="bottom"/>
          </w:tcPr>
          <w:p>
            <w:pPr>
              <w:spacing w:after="0"/>
              <w:rPr>
                <w:sz w:val="5"/>
                <w:szCs w:val="5"/>
                <w:color w:val="auto"/>
              </w:rPr>
            </w:pPr>
          </w:p>
        </w:tc>
        <w:tc>
          <w:tcPr>
            <w:tcW w:w="340" w:type="dxa"/>
            <w:vAlign w:val="bottom"/>
            <w:vMerge w:val="restart"/>
          </w:tcPr>
          <w:p>
            <w:pPr>
              <w:jc w:val="right"/>
              <w:spacing w:after="0"/>
              <w:rPr>
                <w:sz w:val="20"/>
                <w:szCs w:val="20"/>
                <w:color w:val="auto"/>
              </w:rPr>
            </w:pPr>
            <w:r>
              <w:rPr>
                <w:rFonts w:ascii="Arial" w:cs="Arial" w:eastAsia="Arial" w:hAnsi="Arial"/>
                <w:sz w:val="13"/>
                <w:szCs w:val="13"/>
                <w:b w:val="1"/>
                <w:bCs w:val="1"/>
                <w:color w:val="auto"/>
              </w:rPr>
              <w:t>$</w:t>
            </w:r>
          </w:p>
        </w:tc>
        <w:tc>
          <w:tcPr>
            <w:tcW w:w="540" w:type="dxa"/>
            <w:vAlign w:val="bottom"/>
            <w:vMerge w:val="restart"/>
          </w:tcPr>
          <w:p>
            <w:pPr>
              <w:spacing w:after="0"/>
              <w:rPr>
                <w:sz w:val="5"/>
                <w:szCs w:val="5"/>
                <w:color w:val="auto"/>
              </w:rPr>
            </w:pPr>
          </w:p>
        </w:tc>
        <w:tc>
          <w:tcPr>
            <w:tcW w:w="120" w:type="dxa"/>
            <w:vAlign w:val="bottom"/>
            <w:vMerge w:val="restart"/>
          </w:tcPr>
          <w:p>
            <w:pPr>
              <w:spacing w:after="0"/>
              <w:rPr>
                <w:sz w:val="5"/>
                <w:szCs w:val="5"/>
                <w:color w:val="auto"/>
              </w:rPr>
            </w:pPr>
          </w:p>
        </w:tc>
        <w:tc>
          <w:tcPr>
            <w:tcW w:w="840" w:type="dxa"/>
            <w:vAlign w:val="bottom"/>
            <w:vMerge w:val="restart"/>
          </w:tcPr>
          <w:p>
            <w:pPr>
              <w:jc w:val="right"/>
              <w:ind w:right="96"/>
              <w:spacing w:after="0"/>
              <w:rPr>
                <w:sz w:val="20"/>
                <w:szCs w:val="20"/>
                <w:color w:val="auto"/>
              </w:rPr>
            </w:pPr>
            <w:r>
              <w:rPr>
                <w:rFonts w:ascii="Arial" w:cs="Arial" w:eastAsia="Arial" w:hAnsi="Arial"/>
                <w:sz w:val="13"/>
                <w:szCs w:val="13"/>
                <w:b w:val="1"/>
                <w:bCs w:val="1"/>
                <w:color w:val="auto"/>
              </w:rPr>
              <w:t>%</w:t>
            </w:r>
          </w:p>
        </w:tc>
        <w:tc>
          <w:tcPr>
            <w:tcW w:w="540" w:type="dxa"/>
            <w:vAlign w:val="bottom"/>
          </w:tcPr>
          <w:p>
            <w:pPr>
              <w:spacing w:after="0"/>
              <w:rPr>
                <w:sz w:val="5"/>
                <w:szCs w:val="5"/>
                <w:color w:val="auto"/>
              </w:rPr>
            </w:pPr>
          </w:p>
        </w:tc>
        <w:tc>
          <w:tcPr>
            <w:tcW w:w="100" w:type="dxa"/>
            <w:vAlign w:val="bottom"/>
          </w:tcPr>
          <w:p>
            <w:pPr>
              <w:spacing w:after="0"/>
              <w:rPr>
                <w:sz w:val="5"/>
                <w:szCs w:val="5"/>
                <w:color w:val="auto"/>
              </w:rPr>
            </w:pPr>
          </w:p>
        </w:tc>
        <w:tc>
          <w:tcPr>
            <w:tcW w:w="120" w:type="dxa"/>
            <w:vAlign w:val="bottom"/>
          </w:tcPr>
          <w:p>
            <w:pPr>
              <w:spacing w:after="0"/>
              <w:rPr>
                <w:sz w:val="5"/>
                <w:szCs w:val="5"/>
                <w:color w:val="auto"/>
              </w:rPr>
            </w:pPr>
          </w:p>
        </w:tc>
        <w:tc>
          <w:tcPr>
            <w:tcW w:w="114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6"/>
        </w:trPr>
        <w:tc>
          <w:tcPr>
            <w:tcW w:w="5080" w:type="dxa"/>
            <w:vAlign w:val="bottom"/>
            <w:tcBorders>
              <w:bottom w:val="single" w:sz="8" w:color="CCEEFF"/>
            </w:tcBorders>
            <w:vMerge w:val="continue"/>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jc w:val="center"/>
              <w:ind w:right="53"/>
              <w:spacing w:after="0"/>
              <w:rPr>
                <w:sz w:val="20"/>
                <w:szCs w:val="20"/>
                <w:color w:val="auto"/>
              </w:rPr>
            </w:pPr>
            <w:r>
              <w:rPr>
                <w:rFonts w:ascii="Arial" w:cs="Arial" w:eastAsia="Arial" w:hAnsi="Arial"/>
                <w:sz w:val="13"/>
                <w:szCs w:val="13"/>
                <w:b w:val="1"/>
                <w:bCs w:val="1"/>
                <w:color w:val="auto"/>
                <w:w w:val="96"/>
              </w:rPr>
              <w:t>2023</w:t>
            </w:r>
          </w:p>
        </w:tc>
        <w:tc>
          <w:tcPr>
            <w:tcW w:w="100" w:type="dxa"/>
            <w:vAlign w:val="bottom"/>
            <w:tcBorders>
              <w:bottom w:val="single" w:sz="8" w:color="CCEEFF"/>
            </w:tcBorders>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340" w:type="dxa"/>
            <w:vAlign w:val="bottom"/>
            <w:tcBorders>
              <w:bottom w:val="single" w:sz="8" w:color="auto"/>
            </w:tcBorders>
            <w:vMerge w:val="continue"/>
          </w:tcPr>
          <w:p>
            <w:pPr>
              <w:spacing w:after="0"/>
              <w:rPr>
                <w:sz w:val="15"/>
                <w:szCs w:val="15"/>
                <w:color w:val="auto"/>
              </w:rPr>
            </w:pPr>
          </w:p>
        </w:tc>
        <w:tc>
          <w:tcPr>
            <w:tcW w:w="540" w:type="dxa"/>
            <w:vAlign w:val="bottom"/>
            <w:tcBorders>
              <w:bottom w:val="single" w:sz="8" w:color="auto"/>
            </w:tcBorders>
            <w:vMerge w:val="continue"/>
          </w:tcPr>
          <w:p>
            <w:pPr>
              <w:spacing w:after="0"/>
              <w:rPr>
                <w:sz w:val="15"/>
                <w:szCs w:val="15"/>
                <w:color w:val="auto"/>
              </w:rPr>
            </w:pPr>
          </w:p>
        </w:tc>
        <w:tc>
          <w:tcPr>
            <w:tcW w:w="120" w:type="dxa"/>
            <w:vAlign w:val="bottom"/>
            <w:tcBorders>
              <w:bottom w:val="single" w:sz="8" w:color="CCEEFF"/>
            </w:tcBorders>
            <w:vMerge w:val="continue"/>
          </w:tcPr>
          <w:p>
            <w:pPr>
              <w:spacing w:after="0"/>
              <w:rPr>
                <w:sz w:val="15"/>
                <w:szCs w:val="15"/>
                <w:color w:val="auto"/>
              </w:rPr>
            </w:pPr>
          </w:p>
        </w:tc>
        <w:tc>
          <w:tcPr>
            <w:tcW w:w="840" w:type="dxa"/>
            <w:vAlign w:val="bottom"/>
            <w:tcBorders>
              <w:bottom w:val="single" w:sz="8" w:color="auto"/>
            </w:tcBorders>
            <w:vMerge w:val="continue"/>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140" w:type="dxa"/>
            <w:vAlign w:val="bottom"/>
            <w:tcBorders>
              <w:bottom w:val="single" w:sz="8" w:color="auto"/>
            </w:tcBorders>
          </w:tcPr>
          <w:p>
            <w:pPr>
              <w:jc w:val="center"/>
              <w:ind w:right="53"/>
              <w:spacing w:after="0"/>
              <w:rPr>
                <w:sz w:val="20"/>
                <w:szCs w:val="20"/>
                <w:color w:val="auto"/>
              </w:rPr>
            </w:pPr>
            <w:r>
              <w:rPr>
                <w:rFonts w:ascii="Arial" w:cs="Arial" w:eastAsia="Arial" w:hAnsi="Arial"/>
                <w:sz w:val="13"/>
                <w:szCs w:val="13"/>
                <w:b w:val="1"/>
                <w:bCs w:val="1"/>
                <w:color w:val="auto"/>
              </w:rPr>
              <w:t>2022</w:t>
            </w:r>
          </w:p>
        </w:tc>
        <w:tc>
          <w:tcPr>
            <w:tcW w:w="0" w:type="dxa"/>
            <w:vAlign w:val="bottom"/>
          </w:tcPr>
          <w:p>
            <w:pPr>
              <w:spacing w:after="0"/>
              <w:rPr>
                <w:sz w:val="1"/>
                <w:szCs w:val="1"/>
                <w:color w:val="auto"/>
              </w:rPr>
            </w:pPr>
          </w:p>
        </w:tc>
      </w:tr>
      <w:tr>
        <w:trPr>
          <w:trHeight w:val="179"/>
        </w:trPr>
        <w:tc>
          <w:tcPr>
            <w:tcW w:w="5080" w:type="dxa"/>
            <w:vAlign w:val="bottom"/>
            <w:shd w:val="clear" w:color="auto" w:fill="CCEEFF"/>
          </w:tcPr>
          <w:p>
            <w:pPr>
              <w:ind w:left="20"/>
              <w:spacing w:after="0"/>
              <w:rPr>
                <w:sz w:val="20"/>
                <w:szCs w:val="20"/>
                <w:color w:val="auto"/>
              </w:rPr>
            </w:pPr>
            <w:r>
              <w:rPr>
                <w:rFonts w:ascii="Arial" w:cs="Arial" w:eastAsia="Arial" w:hAnsi="Arial"/>
                <w:sz w:val="14"/>
                <w:szCs w:val="14"/>
                <w:color w:val="auto"/>
              </w:rPr>
              <w:t>Recurring revenue (1)</w:t>
            </w:r>
          </w:p>
        </w:tc>
        <w:tc>
          <w:tcPr>
            <w:tcW w:w="12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1120" w:type="dxa"/>
            <w:vAlign w:val="bottom"/>
            <w:shd w:val="clear" w:color="auto" w:fill="CCEEFF"/>
          </w:tcPr>
          <w:p>
            <w:pPr>
              <w:jc w:val="right"/>
              <w:ind w:right="113"/>
              <w:spacing w:after="0"/>
              <w:rPr>
                <w:sz w:val="20"/>
                <w:szCs w:val="20"/>
                <w:color w:val="auto"/>
              </w:rPr>
            </w:pPr>
            <w:r>
              <w:rPr>
                <w:rFonts w:ascii="Arial" w:cs="Arial" w:eastAsia="Arial" w:hAnsi="Arial"/>
                <w:sz w:val="14"/>
                <w:szCs w:val="14"/>
                <w:color w:val="auto"/>
              </w:rPr>
              <w:t>1,244</w:t>
            </w:r>
          </w:p>
        </w:tc>
        <w:tc>
          <w:tcPr>
            <w:tcW w:w="100" w:type="dxa"/>
            <w:vAlign w:val="bottom"/>
            <w:shd w:val="clear" w:color="auto" w:fill="CCEEFF"/>
          </w:tcPr>
          <w:p>
            <w:pPr>
              <w:spacing w:after="0"/>
              <w:rPr>
                <w:sz w:val="15"/>
                <w:szCs w:val="15"/>
                <w:color w:val="auto"/>
              </w:rPr>
            </w:pPr>
          </w:p>
        </w:tc>
        <w:tc>
          <w:tcPr>
            <w:tcW w:w="340" w:type="dxa"/>
            <w:vAlign w:val="bottom"/>
            <w:shd w:val="clear" w:color="auto" w:fill="CCEEFF"/>
          </w:tcPr>
          <w:p>
            <w:pPr>
              <w:jc w:val="right"/>
              <w:ind w:right="190"/>
              <w:spacing w:after="0"/>
              <w:rPr>
                <w:sz w:val="20"/>
                <w:szCs w:val="20"/>
                <w:color w:val="auto"/>
              </w:rPr>
            </w:pPr>
            <w:r>
              <w:rPr>
                <w:rFonts w:ascii="Arial" w:cs="Arial" w:eastAsia="Arial" w:hAnsi="Arial"/>
                <w:sz w:val="14"/>
                <w:szCs w:val="14"/>
                <w:color w:val="auto"/>
                <w:w w:val="76"/>
              </w:rPr>
              <w:t>$</w:t>
            </w:r>
          </w:p>
        </w:tc>
        <w:tc>
          <w:tcPr>
            <w:tcW w:w="340" w:type="dxa"/>
            <w:vAlign w:val="bottom"/>
            <w:shd w:val="clear" w:color="auto" w:fill="CCEEFF"/>
          </w:tcPr>
          <w:p>
            <w:pPr>
              <w:spacing w:after="0"/>
              <w:rPr>
                <w:sz w:val="15"/>
                <w:szCs w:val="15"/>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100</w:t>
            </w:r>
          </w:p>
        </w:tc>
        <w:tc>
          <w:tcPr>
            <w:tcW w:w="120" w:type="dxa"/>
            <w:vAlign w:val="bottom"/>
            <w:shd w:val="clear" w:color="auto" w:fill="CCEEFF"/>
          </w:tcPr>
          <w:p>
            <w:pPr>
              <w:spacing w:after="0"/>
              <w:rPr>
                <w:sz w:val="15"/>
                <w:szCs w:val="15"/>
                <w:color w:val="auto"/>
              </w:rPr>
            </w:pPr>
          </w:p>
        </w:tc>
        <w:tc>
          <w:tcPr>
            <w:tcW w:w="840" w:type="dxa"/>
            <w:vAlign w:val="bottom"/>
            <w:shd w:val="clear" w:color="auto" w:fill="CCEEFF"/>
          </w:tcPr>
          <w:p>
            <w:pPr>
              <w:spacing w:after="0"/>
              <w:rPr>
                <w:sz w:val="15"/>
                <w:szCs w:val="15"/>
                <w:color w:val="auto"/>
              </w:rPr>
            </w:pPr>
          </w:p>
        </w:tc>
        <w:tc>
          <w:tcPr>
            <w:tcW w:w="760" w:type="dxa"/>
            <w:vAlign w:val="bottom"/>
            <w:gridSpan w:val="3"/>
            <w:shd w:val="clear" w:color="auto" w:fill="CCEEFF"/>
          </w:tcPr>
          <w:p>
            <w:pPr>
              <w:jc w:val="right"/>
              <w:ind w:right="20"/>
              <w:spacing w:after="0"/>
              <w:rPr>
                <w:sz w:val="20"/>
                <w:szCs w:val="20"/>
                <w:color w:val="auto"/>
              </w:rPr>
            </w:pPr>
            <w:r>
              <w:rPr>
                <w:rFonts w:ascii="Arial" w:cs="Arial" w:eastAsia="Arial" w:hAnsi="Arial"/>
                <w:sz w:val="14"/>
                <w:szCs w:val="14"/>
                <w:color w:val="auto"/>
              </w:rPr>
              <w:t>9   %  $</w:t>
            </w:r>
          </w:p>
        </w:tc>
        <w:tc>
          <w:tcPr>
            <w:tcW w:w="1140" w:type="dxa"/>
            <w:vAlign w:val="bottom"/>
            <w:shd w:val="clear" w:color="auto" w:fill="CCEEFF"/>
          </w:tcPr>
          <w:p>
            <w:pPr>
              <w:jc w:val="right"/>
              <w:ind w:right="113"/>
              <w:spacing w:after="0"/>
              <w:rPr>
                <w:sz w:val="20"/>
                <w:szCs w:val="20"/>
                <w:color w:val="auto"/>
              </w:rPr>
            </w:pPr>
            <w:r>
              <w:rPr>
                <w:rFonts w:ascii="Arial" w:cs="Arial" w:eastAsia="Arial" w:hAnsi="Arial"/>
                <w:sz w:val="14"/>
                <w:szCs w:val="14"/>
                <w:color w:val="auto"/>
              </w:rPr>
              <w:t>1,144</w:t>
            </w:r>
          </w:p>
        </w:tc>
        <w:tc>
          <w:tcPr>
            <w:tcW w:w="0" w:type="dxa"/>
            <w:vAlign w:val="bottom"/>
          </w:tcPr>
          <w:p>
            <w:pPr>
              <w:spacing w:after="0"/>
              <w:rPr>
                <w:sz w:val="1"/>
                <w:szCs w:val="1"/>
                <w:color w:val="auto"/>
              </w:rPr>
            </w:pPr>
          </w:p>
        </w:tc>
      </w:tr>
      <w:tr>
        <w:trPr>
          <w:trHeight w:val="183"/>
        </w:trPr>
        <w:tc>
          <w:tcPr>
            <w:tcW w:w="5080" w:type="dxa"/>
            <w:vAlign w:val="bottom"/>
          </w:tcPr>
          <w:p>
            <w:pPr>
              <w:ind w:left="20"/>
              <w:spacing w:after="0"/>
              <w:rPr>
                <w:sz w:val="20"/>
                <w:szCs w:val="20"/>
                <w:color w:val="auto"/>
              </w:rPr>
            </w:pPr>
            <w:r>
              <w:rPr>
                <w:rFonts w:ascii="Arial" w:cs="Arial" w:eastAsia="Arial" w:hAnsi="Arial"/>
                <w:sz w:val="14"/>
                <w:szCs w:val="14"/>
                <w:color w:val="auto"/>
              </w:rPr>
              <w:t>As a percentage of net revenue</w:t>
            </w:r>
          </w:p>
        </w:tc>
        <w:tc>
          <w:tcPr>
            <w:tcW w:w="120" w:type="dxa"/>
            <w:vAlign w:val="bottom"/>
          </w:tcPr>
          <w:p>
            <w:pPr>
              <w:spacing w:after="0"/>
              <w:rPr>
                <w:sz w:val="15"/>
                <w:szCs w:val="15"/>
                <w:color w:val="auto"/>
              </w:rPr>
            </w:pPr>
          </w:p>
        </w:tc>
        <w:tc>
          <w:tcPr>
            <w:tcW w:w="1120" w:type="dxa"/>
            <w:vAlign w:val="bottom"/>
          </w:tcPr>
          <w:p>
            <w:pPr>
              <w:jc w:val="right"/>
              <w:spacing w:after="0"/>
              <w:rPr>
                <w:sz w:val="20"/>
                <w:szCs w:val="20"/>
                <w:color w:val="auto"/>
              </w:rPr>
            </w:pPr>
            <w:r>
              <w:rPr>
                <w:rFonts w:ascii="Arial" w:cs="Arial" w:eastAsia="Arial" w:hAnsi="Arial"/>
                <w:sz w:val="14"/>
                <w:szCs w:val="14"/>
                <w:color w:val="auto"/>
              </w:rPr>
              <w:t>98 %</w:t>
            </w:r>
          </w:p>
        </w:tc>
        <w:tc>
          <w:tcPr>
            <w:tcW w:w="10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500" w:type="dxa"/>
            <w:vAlign w:val="bottom"/>
            <w:gridSpan w:val="3"/>
          </w:tcPr>
          <w:p>
            <w:pPr>
              <w:jc w:val="right"/>
              <w:ind w:right="896"/>
              <w:spacing w:after="0"/>
              <w:rPr>
                <w:sz w:val="20"/>
                <w:szCs w:val="20"/>
                <w:color w:val="auto"/>
              </w:rPr>
            </w:pPr>
            <w:r>
              <w:rPr>
                <w:rFonts w:ascii="Arial" w:cs="Arial" w:eastAsia="Arial" w:hAnsi="Arial"/>
                <w:sz w:val="14"/>
                <w:szCs w:val="14"/>
                <w:color w:val="auto"/>
              </w:rPr>
              <w:t>N/A</w:t>
            </w:r>
          </w:p>
        </w:tc>
        <w:tc>
          <w:tcPr>
            <w:tcW w:w="760" w:type="dxa"/>
            <w:vAlign w:val="bottom"/>
            <w:gridSpan w:val="3"/>
          </w:tcPr>
          <w:p>
            <w:pPr>
              <w:jc w:val="center"/>
              <w:ind w:left="10"/>
              <w:spacing w:after="0"/>
              <w:rPr>
                <w:sz w:val="20"/>
                <w:szCs w:val="20"/>
                <w:color w:val="auto"/>
              </w:rPr>
            </w:pPr>
            <w:r>
              <w:rPr>
                <w:rFonts w:ascii="Arial" w:cs="Arial" w:eastAsia="Arial" w:hAnsi="Arial"/>
                <w:sz w:val="14"/>
                <w:szCs w:val="14"/>
                <w:color w:val="auto"/>
              </w:rPr>
              <w:t>N/A</w:t>
            </w:r>
          </w:p>
        </w:tc>
        <w:tc>
          <w:tcPr>
            <w:tcW w:w="1140" w:type="dxa"/>
            <w:vAlign w:val="bottom"/>
          </w:tcPr>
          <w:p>
            <w:pPr>
              <w:jc w:val="right"/>
              <w:spacing w:after="0"/>
              <w:rPr>
                <w:sz w:val="20"/>
                <w:szCs w:val="20"/>
                <w:color w:val="auto"/>
              </w:rPr>
            </w:pPr>
            <w:r>
              <w:rPr>
                <w:rFonts w:ascii="Arial" w:cs="Arial" w:eastAsia="Arial" w:hAnsi="Arial"/>
                <w:sz w:val="14"/>
                <w:szCs w:val="14"/>
                <w:color w:val="auto"/>
              </w:rPr>
              <w:t>98 %</w:t>
            </w:r>
          </w:p>
        </w:tc>
        <w:tc>
          <w:tcPr>
            <w:tcW w:w="0" w:type="dxa"/>
            <w:vAlign w:val="bottom"/>
          </w:tcPr>
          <w:p>
            <w:pPr>
              <w:spacing w:after="0"/>
              <w:rPr>
                <w:sz w:val="1"/>
                <w:szCs w:val="1"/>
                <w:color w:val="auto"/>
              </w:rPr>
            </w:pPr>
          </w:p>
        </w:tc>
      </w:tr>
    </w:tbl>
    <w:p>
      <w:pPr>
        <w:spacing w:after="0" w:line="68"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w:t>
      </w:r>
    </w:p>
    <w:p>
      <w:pPr>
        <w:spacing w:after="0" w:line="12" w:lineRule="exact"/>
        <w:rPr>
          <w:sz w:val="20"/>
          <w:szCs w:val="20"/>
          <w:color w:val="auto"/>
        </w:rPr>
      </w:pPr>
    </w:p>
    <w:p>
      <w:pPr>
        <w:ind w:left="360" w:right="440" w:hanging="356"/>
        <w:spacing w:after="0" w:line="256" w:lineRule="auto"/>
        <w:tabs>
          <w:tab w:leader="none" w:pos="372" w:val="left"/>
        </w:tabs>
        <w:numPr>
          <w:ilvl w:val="0"/>
          <w:numId w:val="17"/>
        </w:numPr>
        <w:rPr>
          <w:rFonts w:ascii="Arial" w:cs="Arial" w:eastAsia="Arial" w:hAnsi="Arial"/>
          <w:sz w:val="14"/>
          <w:szCs w:val="14"/>
          <w:color w:val="auto"/>
        </w:rPr>
      </w:pPr>
      <w:r>
        <w:rPr>
          <w:rFonts w:ascii="Arial" w:cs="Arial" w:eastAsia="Arial" w:hAnsi="Arial"/>
          <w:sz w:val="14"/>
          <w:szCs w:val="14"/>
          <w:color w:val="auto"/>
        </w:rPr>
        <w:t>The acquisition of a business may cause variability in the comparison of recurring revenue in this table above and recurring revenue derived from the revenue reported in the Condensed Consolidated Statements of Operations.</w:t>
      </w:r>
    </w:p>
    <w:p>
      <w:pPr>
        <w:spacing w:after="0" w:line="198" w:lineRule="exact"/>
        <w:rPr>
          <w:rFonts w:ascii="Arial" w:cs="Arial" w:eastAsia="Arial" w:hAnsi="Arial"/>
          <w:sz w:val="14"/>
          <w:szCs w:val="14"/>
          <w:color w:val="auto"/>
        </w:rPr>
      </w:pPr>
    </w:p>
    <w:p>
      <w:pPr>
        <w:ind w:left="360"/>
        <w:spacing w:after="0"/>
        <w:rPr>
          <w:rFonts w:ascii="Arial" w:cs="Arial" w:eastAsia="Arial" w:hAnsi="Arial"/>
          <w:sz w:val="14"/>
          <w:szCs w:val="14"/>
          <w:color w:val="auto"/>
        </w:rPr>
      </w:pPr>
      <w:r>
        <w:rPr>
          <w:rFonts w:ascii="Arial" w:cs="Arial" w:eastAsia="Arial" w:hAnsi="Arial"/>
          <w:sz w:val="15"/>
          <w:szCs w:val="15"/>
          <w:color w:val="auto"/>
        </w:rPr>
        <w:t>NR3 was within the range of 100% and 110%, on a constant currency basis, for both the three months ended April 30, 2023 and 2022.</w:t>
      </w:r>
    </w:p>
    <w:p>
      <w:pPr>
        <w:spacing w:after="0" w:line="267"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Foreign Currency Analysis</w:t>
      </w:r>
    </w:p>
    <w:p>
      <w:pPr>
        <w:spacing w:after="0" w:line="232" w:lineRule="exact"/>
        <w:rPr>
          <w:sz w:val="20"/>
          <w:szCs w:val="20"/>
          <w:color w:val="auto"/>
        </w:rPr>
      </w:pPr>
    </w:p>
    <w:p>
      <w:pPr>
        <w:ind w:left="360"/>
        <w:spacing w:after="0"/>
        <w:rPr>
          <w:sz w:val="20"/>
          <w:szCs w:val="20"/>
          <w:color w:val="auto"/>
        </w:rPr>
      </w:pPr>
      <w:r>
        <w:rPr>
          <w:rFonts w:ascii="Arial" w:cs="Arial" w:eastAsia="Arial" w:hAnsi="Arial"/>
          <w:sz w:val="15"/>
          <w:szCs w:val="15"/>
          <w:color w:val="auto"/>
        </w:rPr>
        <w:t>We generate a significant amount of our revenue in the United States, Japan, Germany, the United Kingdom and Finland.</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440" w:right="640" w:bottom="1440" w:gutter="0" w:footer="0" w:header="0"/>
        </w:sectPr>
      </w:pPr>
    </w:p>
    <w:bookmarkStart w:id="34" w:name="page35"/>
    <w:bookmarkEnd w:id="34"/>
    <w:p>
      <w:pPr>
        <w:ind w:left="360"/>
        <w:spacing w:after="0"/>
        <w:rPr>
          <w:sz w:val="20"/>
          <w:szCs w:val="20"/>
          <w:color w:val="auto"/>
        </w:rPr>
      </w:pPr>
      <w:r>
        <w:rPr>
          <w:rFonts w:ascii="Arial" w:cs="Arial" w:eastAsia="Arial" w:hAnsi="Arial"/>
          <w:sz w:val="15"/>
          <w:szCs w:val="15"/>
          <w:color w:val="auto"/>
        </w:rPr>
        <w:t>The following table shows the impact of foreign exchange rate changes on our net revenue and total spend:</w:t>
      </w:r>
    </w:p>
    <w:p>
      <w:pPr>
        <w:spacing w:after="0" w:line="3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4280" w:type="dxa"/>
            <w:vAlign w:val="bottom"/>
          </w:tcPr>
          <w:p>
            <w:pPr>
              <w:spacing w:after="0"/>
              <w:rPr>
                <w:sz w:val="15"/>
                <w:szCs w:val="15"/>
                <w:color w:val="auto"/>
              </w:rPr>
            </w:pPr>
          </w:p>
        </w:tc>
        <w:tc>
          <w:tcPr>
            <w:tcW w:w="16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4340" w:type="dxa"/>
            <w:vAlign w:val="bottom"/>
            <w:tcBorders>
              <w:bottom w:val="single" w:sz="8" w:color="auto"/>
            </w:tcBorders>
            <w:gridSpan w:val="4"/>
          </w:tcPr>
          <w:p>
            <w:pPr>
              <w:ind w:left="300"/>
              <w:spacing w:after="0"/>
              <w:rPr>
                <w:sz w:val="20"/>
                <w:szCs w:val="20"/>
                <w:color w:val="auto"/>
              </w:rPr>
            </w:pPr>
            <w:r>
              <w:rPr>
                <w:rFonts w:ascii="Arial" w:cs="Arial" w:eastAsia="Arial" w:hAnsi="Arial"/>
                <w:sz w:val="13"/>
                <w:szCs w:val="13"/>
                <w:b w:val="1"/>
                <w:bCs w:val="1"/>
                <w:color w:val="auto"/>
              </w:rPr>
              <w:t>Three Months Ended April 30, 2023</w:t>
            </w:r>
          </w:p>
        </w:tc>
      </w:tr>
      <w:tr>
        <w:trPr>
          <w:trHeight w:val="121"/>
        </w:trPr>
        <w:tc>
          <w:tcPr>
            <w:tcW w:w="4280" w:type="dxa"/>
            <w:vAlign w:val="bottom"/>
          </w:tcPr>
          <w:p>
            <w:pPr>
              <w:spacing w:after="0"/>
              <w:rPr>
                <w:sz w:val="10"/>
                <w:szCs w:val="10"/>
                <w:color w:val="auto"/>
              </w:rPr>
            </w:pPr>
          </w:p>
        </w:tc>
        <w:tc>
          <w:tcPr>
            <w:tcW w:w="1660" w:type="dxa"/>
            <w:vAlign w:val="bottom"/>
          </w:tcPr>
          <w:p>
            <w:pPr>
              <w:jc w:val="right"/>
              <w:ind w:right="233"/>
              <w:spacing w:after="0" w:line="121" w:lineRule="exact"/>
              <w:rPr>
                <w:sz w:val="20"/>
                <w:szCs w:val="20"/>
                <w:color w:val="auto"/>
              </w:rPr>
            </w:pPr>
            <w:r>
              <w:rPr>
                <w:rFonts w:ascii="Arial" w:cs="Arial" w:eastAsia="Arial" w:hAnsi="Arial"/>
                <w:sz w:val="13"/>
                <w:szCs w:val="13"/>
                <w:b w:val="1"/>
                <w:bCs w:val="1"/>
                <w:color w:val="auto"/>
              </w:rPr>
              <w:t>Percent</w:t>
            </w:r>
          </w:p>
        </w:tc>
        <w:tc>
          <w:tcPr>
            <w:tcW w:w="2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720" w:type="dxa"/>
            <w:vAlign w:val="bottom"/>
          </w:tcPr>
          <w:p>
            <w:pPr>
              <w:jc w:val="right"/>
              <w:spacing w:after="0" w:line="121" w:lineRule="exact"/>
              <w:rPr>
                <w:sz w:val="20"/>
                <w:szCs w:val="20"/>
                <w:color w:val="auto"/>
              </w:rPr>
            </w:pPr>
            <w:r>
              <w:rPr>
                <w:rFonts w:ascii="Arial" w:cs="Arial" w:eastAsia="Arial" w:hAnsi="Arial"/>
                <w:sz w:val="13"/>
                <w:szCs w:val="13"/>
                <w:b w:val="1"/>
                <w:bCs w:val="1"/>
                <w:color w:val="auto"/>
              </w:rPr>
              <w:t>Constant Currency</w:t>
            </w:r>
          </w:p>
        </w:tc>
        <w:tc>
          <w:tcPr>
            <w:tcW w:w="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360" w:type="dxa"/>
            <w:vAlign w:val="bottom"/>
          </w:tcPr>
          <w:p>
            <w:pPr>
              <w:jc w:val="center"/>
              <w:ind w:left="273"/>
              <w:spacing w:after="0" w:line="121" w:lineRule="exact"/>
              <w:rPr>
                <w:sz w:val="20"/>
                <w:szCs w:val="20"/>
                <w:color w:val="auto"/>
              </w:rPr>
            </w:pPr>
            <w:r>
              <w:rPr>
                <w:rFonts w:ascii="Arial" w:cs="Arial" w:eastAsia="Arial" w:hAnsi="Arial"/>
                <w:sz w:val="13"/>
                <w:szCs w:val="13"/>
                <w:b w:val="1"/>
                <w:bCs w:val="1"/>
                <w:color w:val="auto"/>
                <w:w w:val="98"/>
              </w:rPr>
              <w:t>Positive/Negative/Neutral</w:t>
            </w:r>
          </w:p>
        </w:tc>
      </w:tr>
      <w:tr>
        <w:trPr>
          <w:trHeight w:val="129"/>
        </w:trPr>
        <w:tc>
          <w:tcPr>
            <w:tcW w:w="4280" w:type="dxa"/>
            <w:vAlign w:val="bottom"/>
          </w:tcPr>
          <w:p>
            <w:pPr>
              <w:spacing w:after="0"/>
              <w:rPr>
                <w:sz w:val="11"/>
                <w:szCs w:val="11"/>
                <w:color w:val="auto"/>
              </w:rPr>
            </w:pPr>
          </w:p>
        </w:tc>
        <w:tc>
          <w:tcPr>
            <w:tcW w:w="1660" w:type="dxa"/>
            <w:vAlign w:val="bottom"/>
          </w:tcPr>
          <w:p>
            <w:pPr>
              <w:jc w:val="right"/>
              <w:ind w:right="33"/>
              <w:spacing w:after="0" w:line="129" w:lineRule="exact"/>
              <w:rPr>
                <w:sz w:val="20"/>
                <w:szCs w:val="20"/>
                <w:color w:val="auto"/>
              </w:rPr>
            </w:pPr>
            <w:r>
              <w:rPr>
                <w:rFonts w:ascii="Arial" w:cs="Arial" w:eastAsia="Arial" w:hAnsi="Arial"/>
                <w:sz w:val="13"/>
                <w:szCs w:val="13"/>
                <w:b w:val="1"/>
                <w:bCs w:val="1"/>
                <w:color w:val="auto"/>
              </w:rPr>
              <w:t>change compared to</w:t>
            </w:r>
          </w:p>
        </w:tc>
        <w:tc>
          <w:tcPr>
            <w:tcW w:w="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80" w:type="dxa"/>
            <w:vAlign w:val="bottom"/>
            <w:gridSpan w:val="2"/>
          </w:tcPr>
          <w:p>
            <w:pPr>
              <w:jc w:val="right"/>
              <w:spacing w:after="0" w:line="129" w:lineRule="exact"/>
              <w:rPr>
                <w:sz w:val="20"/>
                <w:szCs w:val="20"/>
                <w:color w:val="auto"/>
              </w:rPr>
            </w:pPr>
            <w:r>
              <w:rPr>
                <w:rFonts w:ascii="Arial" w:cs="Arial" w:eastAsia="Arial" w:hAnsi="Arial"/>
                <w:sz w:val="13"/>
                <w:szCs w:val="13"/>
                <w:b w:val="1"/>
                <w:bCs w:val="1"/>
                <w:color w:val="auto"/>
              </w:rPr>
              <w:t>percent change compared to</w:t>
            </w:r>
          </w:p>
        </w:tc>
        <w:tc>
          <w:tcPr>
            <w:tcW w:w="100" w:type="dxa"/>
            <w:vAlign w:val="bottom"/>
          </w:tcPr>
          <w:p>
            <w:pPr>
              <w:spacing w:after="0"/>
              <w:rPr>
                <w:sz w:val="11"/>
                <w:szCs w:val="11"/>
                <w:color w:val="auto"/>
              </w:rPr>
            </w:pPr>
          </w:p>
        </w:tc>
        <w:tc>
          <w:tcPr>
            <w:tcW w:w="2360" w:type="dxa"/>
            <w:vAlign w:val="bottom"/>
          </w:tcPr>
          <w:p>
            <w:pPr>
              <w:jc w:val="center"/>
              <w:spacing w:after="0" w:line="129" w:lineRule="exact"/>
              <w:rPr>
                <w:sz w:val="20"/>
                <w:szCs w:val="20"/>
                <w:color w:val="auto"/>
              </w:rPr>
            </w:pPr>
            <w:r>
              <w:rPr>
                <w:rFonts w:ascii="Arial" w:cs="Arial" w:eastAsia="Arial" w:hAnsi="Arial"/>
                <w:sz w:val="13"/>
                <w:szCs w:val="13"/>
                <w:b w:val="1"/>
                <w:bCs w:val="1"/>
                <w:color w:val="auto"/>
                <w:w w:val="98"/>
              </w:rPr>
              <w:t>impact from foreign exchange rate</w:t>
            </w:r>
          </w:p>
        </w:tc>
      </w:tr>
      <w:tr>
        <w:trPr>
          <w:trHeight w:val="176"/>
        </w:trPr>
        <w:tc>
          <w:tcPr>
            <w:tcW w:w="4280" w:type="dxa"/>
            <w:vAlign w:val="bottom"/>
            <w:tcBorders>
              <w:bottom w:val="single" w:sz="8" w:color="CCEEFF"/>
            </w:tcBorders>
          </w:tcPr>
          <w:p>
            <w:pPr>
              <w:spacing w:after="0"/>
              <w:rPr>
                <w:sz w:val="15"/>
                <w:szCs w:val="15"/>
                <w:color w:val="auto"/>
              </w:rPr>
            </w:pPr>
          </w:p>
        </w:tc>
        <w:tc>
          <w:tcPr>
            <w:tcW w:w="1660" w:type="dxa"/>
            <w:vAlign w:val="bottom"/>
            <w:tcBorders>
              <w:bottom w:val="single" w:sz="8" w:color="auto"/>
            </w:tcBorders>
          </w:tcPr>
          <w:p>
            <w:pPr>
              <w:jc w:val="right"/>
              <w:ind w:right="173"/>
              <w:spacing w:after="0"/>
              <w:rPr>
                <w:sz w:val="20"/>
                <w:szCs w:val="20"/>
                <w:color w:val="auto"/>
              </w:rPr>
            </w:pPr>
            <w:r>
              <w:rPr>
                <w:rFonts w:ascii="Arial" w:cs="Arial" w:eastAsia="Arial" w:hAnsi="Arial"/>
                <w:sz w:val="13"/>
                <w:szCs w:val="13"/>
                <w:b w:val="1"/>
                <w:bCs w:val="1"/>
                <w:color w:val="auto"/>
              </w:rPr>
              <w:t>prior fiscal year</w:t>
            </w:r>
          </w:p>
        </w:tc>
        <w:tc>
          <w:tcPr>
            <w:tcW w:w="220" w:type="dxa"/>
            <w:vAlign w:val="bottom"/>
            <w:tcBorders>
              <w:bottom w:val="single" w:sz="8" w:color="auto"/>
            </w:tcBorders>
          </w:tcPr>
          <w:p>
            <w:pPr>
              <w:spacing w:after="0"/>
              <w:rPr>
                <w:sz w:val="15"/>
                <w:szCs w:val="15"/>
                <w:color w:val="auto"/>
              </w:rPr>
            </w:pPr>
          </w:p>
        </w:tc>
        <w:tc>
          <w:tcPr>
            <w:tcW w:w="80" w:type="dxa"/>
            <w:vAlign w:val="bottom"/>
            <w:tcBorders>
              <w:bottom w:val="single" w:sz="8" w:color="CCEEFF"/>
            </w:tcBorders>
          </w:tcPr>
          <w:p>
            <w:pPr>
              <w:spacing w:after="0"/>
              <w:rPr>
                <w:sz w:val="15"/>
                <w:szCs w:val="15"/>
                <w:color w:val="auto"/>
              </w:rPr>
            </w:pPr>
          </w:p>
        </w:tc>
        <w:tc>
          <w:tcPr>
            <w:tcW w:w="1720" w:type="dxa"/>
            <w:vAlign w:val="bottom"/>
            <w:tcBorders>
              <w:bottom w:val="single" w:sz="8" w:color="auto"/>
            </w:tcBorders>
          </w:tcPr>
          <w:p>
            <w:pPr>
              <w:jc w:val="right"/>
              <w:ind w:right="136"/>
              <w:spacing w:after="0"/>
              <w:rPr>
                <w:sz w:val="20"/>
                <w:szCs w:val="20"/>
                <w:color w:val="auto"/>
              </w:rPr>
            </w:pPr>
            <w:r>
              <w:rPr>
                <w:rFonts w:ascii="Arial" w:cs="Arial" w:eastAsia="Arial" w:hAnsi="Arial"/>
                <w:sz w:val="13"/>
                <w:szCs w:val="13"/>
                <w:b w:val="1"/>
                <w:bCs w:val="1"/>
                <w:color w:val="auto"/>
              </w:rPr>
              <w:t>prior fiscal year (1)</w:t>
            </w:r>
          </w:p>
        </w:tc>
        <w:tc>
          <w:tcPr>
            <w:tcW w:w="160" w:type="dxa"/>
            <w:vAlign w:val="bottom"/>
            <w:tcBorders>
              <w:bottom w:val="single" w:sz="8" w:color="auto"/>
            </w:tcBorders>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236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8"/>
              </w:rPr>
              <w:t>changes</w:t>
            </w:r>
          </w:p>
        </w:tc>
      </w:tr>
      <w:tr>
        <w:trPr>
          <w:trHeight w:val="179"/>
        </w:trPr>
        <w:tc>
          <w:tcPr>
            <w:tcW w:w="4280" w:type="dxa"/>
            <w:vAlign w:val="bottom"/>
            <w:shd w:val="clear" w:color="auto" w:fill="CCEEFF"/>
          </w:tcPr>
          <w:p>
            <w:pPr>
              <w:ind w:left="360"/>
              <w:spacing w:after="0"/>
              <w:rPr>
                <w:sz w:val="20"/>
                <w:szCs w:val="20"/>
                <w:color w:val="auto"/>
              </w:rPr>
            </w:pPr>
            <w:r>
              <w:rPr>
                <w:rFonts w:ascii="Arial" w:cs="Arial" w:eastAsia="Arial" w:hAnsi="Arial"/>
                <w:sz w:val="14"/>
                <w:szCs w:val="14"/>
                <w:color w:val="auto"/>
              </w:rPr>
              <w:t>Net revenue</w:t>
            </w:r>
          </w:p>
        </w:tc>
        <w:tc>
          <w:tcPr>
            <w:tcW w:w="1660" w:type="dxa"/>
            <w:vAlign w:val="bottom"/>
            <w:shd w:val="clear" w:color="auto" w:fill="CCEEFF"/>
          </w:tcPr>
          <w:p>
            <w:pPr>
              <w:jc w:val="right"/>
              <w:ind w:right="353"/>
              <w:spacing w:after="0"/>
              <w:rPr>
                <w:sz w:val="20"/>
                <w:szCs w:val="20"/>
                <w:color w:val="auto"/>
              </w:rPr>
            </w:pPr>
            <w:r>
              <w:rPr>
                <w:rFonts w:ascii="Arial" w:cs="Arial" w:eastAsia="Arial" w:hAnsi="Arial"/>
                <w:sz w:val="14"/>
                <w:szCs w:val="14"/>
                <w:color w:val="auto"/>
              </w:rPr>
              <w:t>8</w:t>
            </w:r>
          </w:p>
        </w:tc>
        <w:tc>
          <w:tcPr>
            <w:tcW w:w="2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800" w:type="dxa"/>
            <w:vAlign w:val="bottom"/>
            <w:gridSpan w:val="2"/>
            <w:shd w:val="clear" w:color="auto" w:fill="CCEEFF"/>
          </w:tcPr>
          <w:p>
            <w:pPr>
              <w:jc w:val="right"/>
              <w:ind w:right="416"/>
              <w:spacing w:after="0"/>
              <w:rPr>
                <w:sz w:val="20"/>
                <w:szCs w:val="20"/>
                <w:color w:val="auto"/>
              </w:rPr>
            </w:pPr>
            <w:r>
              <w:rPr>
                <w:rFonts w:ascii="Arial" w:cs="Arial" w:eastAsia="Arial" w:hAnsi="Arial"/>
                <w:sz w:val="14"/>
                <w:szCs w:val="14"/>
                <w:color w:val="auto"/>
              </w:rPr>
              <w:t>12</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w w:val="96"/>
              </w:rPr>
              <w:t>%</w:t>
            </w:r>
          </w:p>
        </w:tc>
        <w:tc>
          <w:tcPr>
            <w:tcW w:w="100" w:type="dxa"/>
            <w:vAlign w:val="bottom"/>
            <w:shd w:val="clear" w:color="auto" w:fill="CCEEFF"/>
          </w:tcPr>
          <w:p>
            <w:pPr>
              <w:spacing w:after="0"/>
              <w:rPr>
                <w:sz w:val="15"/>
                <w:szCs w:val="15"/>
                <w:color w:val="auto"/>
              </w:rPr>
            </w:pPr>
          </w:p>
        </w:tc>
        <w:tc>
          <w:tcPr>
            <w:tcW w:w="2360" w:type="dxa"/>
            <w:vAlign w:val="bottom"/>
            <w:shd w:val="clear" w:color="auto" w:fill="CCEEFF"/>
          </w:tcPr>
          <w:p>
            <w:pPr>
              <w:jc w:val="center"/>
              <w:ind w:left="273"/>
              <w:spacing w:after="0"/>
              <w:rPr>
                <w:sz w:val="20"/>
                <w:szCs w:val="20"/>
                <w:color w:val="auto"/>
              </w:rPr>
            </w:pPr>
            <w:r>
              <w:rPr>
                <w:rFonts w:ascii="Arial" w:cs="Arial" w:eastAsia="Arial" w:hAnsi="Arial"/>
                <w:sz w:val="14"/>
                <w:szCs w:val="14"/>
                <w:color w:val="auto"/>
                <w:w w:val="97"/>
              </w:rPr>
              <w:t>Negative</w:t>
            </w:r>
          </w:p>
        </w:tc>
      </w:tr>
      <w:tr>
        <w:trPr>
          <w:trHeight w:val="183"/>
        </w:trPr>
        <w:tc>
          <w:tcPr>
            <w:tcW w:w="4280" w:type="dxa"/>
            <w:vAlign w:val="bottom"/>
          </w:tcPr>
          <w:p>
            <w:pPr>
              <w:ind w:left="360"/>
              <w:spacing w:after="0"/>
              <w:rPr>
                <w:sz w:val="20"/>
                <w:szCs w:val="20"/>
                <w:color w:val="auto"/>
              </w:rPr>
            </w:pPr>
            <w:r>
              <w:rPr>
                <w:rFonts w:ascii="Arial" w:cs="Arial" w:eastAsia="Arial" w:hAnsi="Arial"/>
                <w:sz w:val="14"/>
                <w:szCs w:val="14"/>
                <w:color w:val="auto"/>
              </w:rPr>
              <w:t>Total spend</w:t>
            </w:r>
          </w:p>
        </w:tc>
        <w:tc>
          <w:tcPr>
            <w:tcW w:w="1660" w:type="dxa"/>
            <w:vAlign w:val="bottom"/>
          </w:tcPr>
          <w:p>
            <w:pPr>
              <w:jc w:val="right"/>
              <w:ind w:right="353"/>
              <w:spacing w:after="0"/>
              <w:rPr>
                <w:sz w:val="20"/>
                <w:szCs w:val="20"/>
                <w:color w:val="auto"/>
              </w:rPr>
            </w:pPr>
            <w:r>
              <w:rPr>
                <w:rFonts w:ascii="Arial" w:cs="Arial" w:eastAsia="Arial" w:hAnsi="Arial"/>
                <w:sz w:val="14"/>
                <w:szCs w:val="14"/>
                <w:color w:val="auto"/>
              </w:rPr>
              <w:t>10</w:t>
            </w:r>
          </w:p>
        </w:tc>
        <w:tc>
          <w:tcPr>
            <w:tcW w:w="220" w:type="dxa"/>
            <w:vAlign w:val="bottom"/>
          </w:tcPr>
          <w:p>
            <w:pPr>
              <w:jc w:val="right"/>
              <w:spacing w:after="0"/>
              <w:rPr>
                <w:sz w:val="20"/>
                <w:szCs w:val="20"/>
                <w:color w:val="auto"/>
              </w:rPr>
            </w:pPr>
            <w:r>
              <w:rPr>
                <w:rFonts w:ascii="Arial" w:cs="Arial" w:eastAsia="Arial" w:hAnsi="Arial"/>
                <w:sz w:val="14"/>
                <w:szCs w:val="14"/>
                <w:color w:val="auto"/>
              </w:rPr>
              <w:t>%</w:t>
            </w:r>
          </w:p>
        </w:tc>
        <w:tc>
          <w:tcPr>
            <w:tcW w:w="1800" w:type="dxa"/>
            <w:vAlign w:val="bottom"/>
            <w:gridSpan w:val="2"/>
          </w:tcPr>
          <w:p>
            <w:pPr>
              <w:jc w:val="right"/>
              <w:ind w:right="416"/>
              <w:spacing w:after="0"/>
              <w:rPr>
                <w:sz w:val="20"/>
                <w:szCs w:val="20"/>
                <w:color w:val="auto"/>
              </w:rPr>
            </w:pPr>
            <w:r>
              <w:rPr>
                <w:rFonts w:ascii="Arial" w:cs="Arial" w:eastAsia="Arial" w:hAnsi="Arial"/>
                <w:sz w:val="14"/>
                <w:szCs w:val="14"/>
                <w:color w:val="auto"/>
              </w:rPr>
              <w:t>13</w:t>
            </w:r>
          </w:p>
        </w:tc>
        <w:tc>
          <w:tcPr>
            <w:tcW w:w="160" w:type="dxa"/>
            <w:vAlign w:val="bottom"/>
          </w:tcPr>
          <w:p>
            <w:pPr>
              <w:jc w:val="right"/>
              <w:spacing w:after="0"/>
              <w:rPr>
                <w:sz w:val="20"/>
                <w:szCs w:val="20"/>
                <w:color w:val="auto"/>
              </w:rPr>
            </w:pPr>
            <w:r>
              <w:rPr>
                <w:rFonts w:ascii="Arial" w:cs="Arial" w:eastAsia="Arial" w:hAnsi="Arial"/>
                <w:sz w:val="14"/>
                <w:szCs w:val="14"/>
                <w:color w:val="auto"/>
                <w:w w:val="96"/>
              </w:rPr>
              <w:t>%</w:t>
            </w:r>
          </w:p>
        </w:tc>
        <w:tc>
          <w:tcPr>
            <w:tcW w:w="100" w:type="dxa"/>
            <w:vAlign w:val="bottom"/>
          </w:tcPr>
          <w:p>
            <w:pPr>
              <w:spacing w:after="0"/>
              <w:rPr>
                <w:sz w:val="15"/>
                <w:szCs w:val="15"/>
                <w:color w:val="auto"/>
              </w:rPr>
            </w:pPr>
          </w:p>
        </w:tc>
        <w:tc>
          <w:tcPr>
            <w:tcW w:w="2360" w:type="dxa"/>
            <w:vAlign w:val="bottom"/>
          </w:tcPr>
          <w:p>
            <w:pPr>
              <w:jc w:val="center"/>
              <w:ind w:left="273"/>
              <w:spacing w:after="0"/>
              <w:rPr>
                <w:sz w:val="20"/>
                <w:szCs w:val="20"/>
                <w:color w:val="auto"/>
              </w:rPr>
            </w:pPr>
            <w:r>
              <w:rPr>
                <w:rFonts w:ascii="Arial" w:cs="Arial" w:eastAsia="Arial" w:hAnsi="Arial"/>
                <w:sz w:val="14"/>
                <w:szCs w:val="14"/>
                <w:color w:val="auto"/>
              </w:rPr>
              <w:t>Positive</w:t>
            </w:r>
          </w:p>
        </w:tc>
      </w:tr>
    </w:tbl>
    <w:p>
      <w:pPr>
        <w:spacing w:after="0" w:line="68"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w:t>
      </w:r>
    </w:p>
    <w:p>
      <w:pPr>
        <w:spacing w:after="0" w:line="12" w:lineRule="exact"/>
        <w:rPr>
          <w:sz w:val="20"/>
          <w:szCs w:val="20"/>
          <w:color w:val="auto"/>
        </w:rPr>
      </w:pPr>
    </w:p>
    <w:p>
      <w:pPr>
        <w:ind w:left="360" w:hanging="356"/>
        <w:spacing w:after="0"/>
        <w:tabs>
          <w:tab w:leader="none" w:pos="360" w:val="left"/>
        </w:tabs>
        <w:numPr>
          <w:ilvl w:val="0"/>
          <w:numId w:val="18"/>
        </w:numPr>
        <w:rPr>
          <w:rFonts w:ascii="Arial" w:cs="Arial" w:eastAsia="Arial" w:hAnsi="Arial"/>
          <w:sz w:val="14"/>
          <w:szCs w:val="14"/>
          <w:color w:val="auto"/>
        </w:rPr>
      </w:pPr>
      <w:r>
        <w:rPr>
          <w:rFonts w:ascii="Arial" w:cs="Arial" w:eastAsia="Arial" w:hAnsi="Arial"/>
          <w:sz w:val="14"/>
          <w:szCs w:val="14"/>
          <w:color w:val="auto"/>
        </w:rPr>
        <w:t>Please refer to the Glossary of Terms for the definitions of our constant currency growth rates.</w:t>
      </w:r>
    </w:p>
    <w:p>
      <w:pPr>
        <w:spacing w:after="0" w:line="217" w:lineRule="exact"/>
        <w:rPr>
          <w:sz w:val="20"/>
          <w:szCs w:val="20"/>
          <w:color w:val="auto"/>
        </w:rPr>
      </w:pPr>
    </w:p>
    <w:p>
      <w:pPr>
        <w:ind w:right="60" w:firstLine="351"/>
        <w:spacing w:after="0" w:line="257" w:lineRule="auto"/>
        <w:rPr>
          <w:sz w:val="20"/>
          <w:szCs w:val="20"/>
          <w:color w:val="auto"/>
        </w:rPr>
      </w:pPr>
      <w:r>
        <w:rPr>
          <w:rFonts w:ascii="Arial" w:cs="Arial" w:eastAsia="Arial" w:hAnsi="Arial"/>
          <w:sz w:val="15"/>
          <w:szCs w:val="15"/>
          <w:color w:val="auto"/>
        </w:rPr>
        <w:t>Changes in the value of the U.S. dollar may have a significant effect on net revenue, total spend, and income from operations in future periods. We use foreign currency contracts to reduce the exchange rate effect on a portion of the net revenue of certain anticipated transactions but do not attempt to completely mitigate the impact of fluctuations of such foreign currency against the U.S. dollar.</w:t>
      </w:r>
    </w:p>
    <w:p>
      <w:pPr>
        <w:spacing w:after="0" w:line="190"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Remaining Performance Obligations</w:t>
      </w:r>
    </w:p>
    <w:p>
      <w:pPr>
        <w:spacing w:after="0" w:line="232" w:lineRule="exact"/>
        <w:rPr>
          <w:sz w:val="20"/>
          <w:szCs w:val="20"/>
          <w:color w:val="auto"/>
        </w:rPr>
      </w:pPr>
    </w:p>
    <w:p>
      <w:pPr>
        <w:ind w:right="80" w:firstLine="351"/>
        <w:spacing w:after="0" w:line="253" w:lineRule="auto"/>
        <w:rPr>
          <w:sz w:val="20"/>
          <w:szCs w:val="20"/>
          <w:color w:val="auto"/>
        </w:rPr>
      </w:pPr>
      <w:r>
        <w:rPr>
          <w:rFonts w:ascii="Arial" w:cs="Arial" w:eastAsia="Arial" w:hAnsi="Arial"/>
          <w:sz w:val="15"/>
          <w:szCs w:val="15"/>
          <w:color w:val="auto"/>
        </w:rPr>
        <w:t>RPO represents deferred revenue and contractually stated or committed orders under early renewal and multi-year billing plans for subscription, services, license, and maintenance for which the associated deferred revenue has not yet been recognized. Unbilled deferred revenue is not included as a receivable or deferred revenue on our Condensed Consolidated Balance Sheets. See Part I, Item 1, “Financial Statements,” Note 3, “Revenue Recognition,” for more details on Autodesk's performance obligations.</w:t>
      </w:r>
    </w:p>
    <w:p>
      <w:pPr>
        <w:spacing w:after="0" w:line="73" w:lineRule="exact"/>
        <w:rPr>
          <w:sz w:val="20"/>
          <w:szCs w:val="20"/>
          <w:color w:val="auto"/>
        </w:rPr>
      </w:pPr>
    </w:p>
    <w:tbl>
      <w:tblPr>
        <w:tblLayout w:type="fixed"/>
        <w:tblInd w:w="20" w:type="dxa"/>
        <w:tblCellMar>
          <w:top w:w="0" w:type="dxa"/>
          <w:left w:w="0" w:type="dxa"/>
          <w:bottom w:w="0" w:type="dxa"/>
          <w:right w:w="0" w:type="dxa"/>
        </w:tblCellMar>
      </w:tblPr>
      <w:tr>
        <w:trPr>
          <w:trHeight w:val="179"/>
        </w:trPr>
        <w:tc>
          <w:tcPr>
            <w:tcW w:w="7740" w:type="dxa"/>
            <w:vAlign w:val="bottom"/>
            <w:tcBorders>
              <w:bottom w:val="single" w:sz="8" w:color="CCEEFF"/>
            </w:tcBorders>
          </w:tcPr>
          <w:p>
            <w:pPr>
              <w:ind w:left="120"/>
              <w:spacing w:after="0"/>
              <w:rPr>
                <w:sz w:val="20"/>
                <w:szCs w:val="20"/>
                <w:color w:val="auto"/>
              </w:rPr>
            </w:pPr>
            <w:r>
              <w:rPr>
                <w:rFonts w:ascii="Arial" w:cs="Arial" w:eastAsia="Arial" w:hAnsi="Arial"/>
                <w:sz w:val="13"/>
                <w:szCs w:val="13"/>
                <w:i w:val="1"/>
                <w:iCs w:val="1"/>
                <w:color w:val="auto"/>
              </w:rPr>
              <w:t>(in millions)</w:t>
            </w:r>
          </w:p>
        </w:tc>
        <w:tc>
          <w:tcPr>
            <w:tcW w:w="180" w:type="dxa"/>
            <w:vAlign w:val="bottom"/>
            <w:tcBorders>
              <w:bottom w:val="single" w:sz="8" w:color="auto"/>
            </w:tcBorders>
          </w:tcPr>
          <w:p>
            <w:pPr>
              <w:spacing w:after="0"/>
              <w:rPr>
                <w:sz w:val="15"/>
                <w:szCs w:val="15"/>
                <w:color w:val="auto"/>
              </w:rPr>
            </w:pPr>
          </w:p>
        </w:tc>
        <w:tc>
          <w:tcPr>
            <w:tcW w:w="1140" w:type="dxa"/>
            <w:vAlign w:val="bottom"/>
            <w:tcBorders>
              <w:bottom w:val="single" w:sz="8" w:color="auto"/>
            </w:tcBorders>
          </w:tcPr>
          <w:p>
            <w:pPr>
              <w:jc w:val="right"/>
              <w:ind w:right="171"/>
              <w:spacing w:after="0"/>
              <w:rPr>
                <w:sz w:val="20"/>
                <w:szCs w:val="20"/>
                <w:color w:val="auto"/>
              </w:rPr>
            </w:pPr>
            <w:r>
              <w:rPr>
                <w:rFonts w:ascii="Arial" w:cs="Arial" w:eastAsia="Arial" w:hAnsi="Arial"/>
                <w:sz w:val="13"/>
                <w:szCs w:val="13"/>
                <w:b w:val="1"/>
                <w:bCs w:val="1"/>
                <w:color w:val="auto"/>
              </w:rPr>
              <w:t>April 30, 2023</w:t>
            </w:r>
          </w:p>
        </w:tc>
        <w:tc>
          <w:tcPr>
            <w:tcW w:w="10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40" w:type="dxa"/>
            <w:vAlign w:val="bottom"/>
            <w:tcBorders>
              <w:bottom w:val="single" w:sz="8" w:color="auto"/>
            </w:tcBorders>
          </w:tcPr>
          <w:p>
            <w:pPr>
              <w:jc w:val="right"/>
              <w:ind w:right="111"/>
              <w:spacing w:after="0"/>
              <w:rPr>
                <w:sz w:val="20"/>
                <w:szCs w:val="20"/>
                <w:color w:val="auto"/>
              </w:rPr>
            </w:pPr>
            <w:r>
              <w:rPr>
                <w:rFonts w:ascii="Arial" w:cs="Arial" w:eastAsia="Arial" w:hAnsi="Arial"/>
                <w:sz w:val="13"/>
                <w:szCs w:val="13"/>
                <w:b w:val="1"/>
                <w:bCs w:val="1"/>
                <w:color w:val="auto"/>
                <w:w w:val="99"/>
              </w:rPr>
              <w:t>January 31, 2023</w:t>
            </w:r>
          </w:p>
        </w:tc>
      </w:tr>
      <w:tr>
        <w:trPr>
          <w:trHeight w:val="179"/>
        </w:trPr>
        <w:tc>
          <w:tcPr>
            <w:tcW w:w="7740" w:type="dxa"/>
            <w:vAlign w:val="bottom"/>
            <w:shd w:val="clear" w:color="auto" w:fill="CCEEFF"/>
          </w:tcPr>
          <w:p>
            <w:pPr>
              <w:ind w:left="120"/>
              <w:spacing w:after="0"/>
              <w:rPr>
                <w:sz w:val="20"/>
                <w:szCs w:val="20"/>
                <w:color w:val="auto"/>
              </w:rPr>
            </w:pPr>
            <w:r>
              <w:rPr>
                <w:rFonts w:ascii="Arial" w:cs="Arial" w:eastAsia="Arial" w:hAnsi="Arial"/>
                <w:sz w:val="14"/>
                <w:szCs w:val="14"/>
                <w:color w:val="auto"/>
              </w:rPr>
              <w:t>Deferred revenue</w:t>
            </w:r>
          </w:p>
        </w:tc>
        <w:tc>
          <w:tcPr>
            <w:tcW w:w="18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w w:val="76"/>
              </w:rPr>
              <w:t>$</w:t>
            </w:r>
          </w:p>
        </w:tc>
        <w:tc>
          <w:tcPr>
            <w:tcW w:w="1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4,483</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4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4,580</w:t>
            </w:r>
          </w:p>
        </w:tc>
      </w:tr>
      <w:tr>
        <w:trPr>
          <w:trHeight w:val="185"/>
        </w:trPr>
        <w:tc>
          <w:tcPr>
            <w:tcW w:w="7740" w:type="dxa"/>
            <w:vAlign w:val="bottom"/>
            <w:tcBorders>
              <w:bottom w:val="single" w:sz="8" w:color="CCEEFF"/>
            </w:tcBorders>
          </w:tcPr>
          <w:p>
            <w:pPr>
              <w:ind w:left="120"/>
              <w:spacing w:after="0"/>
              <w:rPr>
                <w:sz w:val="20"/>
                <w:szCs w:val="20"/>
                <w:color w:val="auto"/>
              </w:rPr>
            </w:pPr>
            <w:r>
              <w:rPr>
                <w:rFonts w:ascii="Arial" w:cs="Arial" w:eastAsia="Arial" w:hAnsi="Arial"/>
                <w:sz w:val="14"/>
                <w:szCs w:val="14"/>
                <w:color w:val="auto"/>
              </w:rPr>
              <w:t>Unbilled deferred revenue</w:t>
            </w:r>
          </w:p>
        </w:tc>
        <w:tc>
          <w:tcPr>
            <w:tcW w:w="18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904</w:t>
            </w:r>
          </w:p>
        </w:tc>
        <w:tc>
          <w:tcPr>
            <w:tcW w:w="10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1,043</w:t>
            </w:r>
          </w:p>
        </w:tc>
      </w:tr>
      <w:tr>
        <w:trPr>
          <w:trHeight w:val="202"/>
        </w:trPr>
        <w:tc>
          <w:tcPr>
            <w:tcW w:w="7740" w:type="dxa"/>
            <w:vAlign w:val="bottom"/>
            <w:shd w:val="clear" w:color="auto" w:fill="CCEEFF"/>
          </w:tcPr>
          <w:p>
            <w:pPr>
              <w:ind w:left="260"/>
              <w:spacing w:after="0"/>
              <w:rPr>
                <w:sz w:val="20"/>
                <w:szCs w:val="20"/>
                <w:color w:val="auto"/>
              </w:rPr>
            </w:pPr>
            <w:r>
              <w:rPr>
                <w:rFonts w:ascii="Arial" w:cs="Arial" w:eastAsia="Arial" w:hAnsi="Arial"/>
                <w:sz w:val="14"/>
                <w:szCs w:val="14"/>
                <w:color w:val="auto"/>
              </w:rPr>
              <w:t>RPO</w:t>
            </w:r>
          </w:p>
        </w:tc>
        <w:tc>
          <w:tcPr>
            <w:tcW w:w="180" w:type="dxa"/>
            <w:vAlign w:val="bottom"/>
            <w:shd w:val="clear" w:color="auto" w:fill="CCEEFF"/>
          </w:tcPr>
          <w:p>
            <w:pPr>
              <w:jc w:val="right"/>
              <w:ind w:right="30"/>
              <w:spacing w:after="0"/>
              <w:rPr>
                <w:sz w:val="20"/>
                <w:szCs w:val="20"/>
                <w:color w:val="auto"/>
              </w:rPr>
            </w:pPr>
            <w:r>
              <w:rPr>
                <w:rFonts w:ascii="Arial" w:cs="Arial" w:eastAsia="Arial" w:hAnsi="Arial"/>
                <w:sz w:val="14"/>
                <w:szCs w:val="14"/>
                <w:color w:val="auto"/>
                <w:w w:val="76"/>
              </w:rPr>
              <w:t>$</w:t>
            </w:r>
          </w:p>
        </w:tc>
        <w:tc>
          <w:tcPr>
            <w:tcW w:w="1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5,387</w:t>
            </w:r>
          </w:p>
        </w:tc>
        <w:tc>
          <w:tcPr>
            <w:tcW w:w="240" w:type="dxa"/>
            <w:vAlign w:val="bottom"/>
            <w:gridSpan w:val="2"/>
            <w:shd w:val="clear" w:color="auto" w:fill="CCEEFF"/>
          </w:tcPr>
          <w:p>
            <w:pPr>
              <w:jc w:val="right"/>
              <w:ind w:right="60"/>
              <w:spacing w:after="0"/>
              <w:rPr>
                <w:sz w:val="20"/>
                <w:szCs w:val="20"/>
                <w:color w:val="auto"/>
              </w:rPr>
            </w:pPr>
            <w:r>
              <w:rPr>
                <w:rFonts w:ascii="Arial" w:cs="Arial" w:eastAsia="Arial" w:hAnsi="Arial"/>
                <w:sz w:val="14"/>
                <w:szCs w:val="14"/>
                <w:color w:val="auto"/>
              </w:rPr>
              <w:t>$</w:t>
            </w:r>
          </w:p>
        </w:tc>
        <w:tc>
          <w:tcPr>
            <w:tcW w:w="124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5,623</w:t>
            </w:r>
          </w:p>
        </w:tc>
      </w:tr>
      <w:tr>
        <w:trPr>
          <w:trHeight w:val="20"/>
        </w:trPr>
        <w:tc>
          <w:tcPr>
            <w:tcW w:w="7740" w:type="dxa"/>
            <w:vAlign w:val="bottom"/>
            <w:tcBorders>
              <w:top w:val="single" w:sz="8" w:color="CCEEFF"/>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r>
    </w:tbl>
    <w:p>
      <w:pPr>
        <w:spacing w:after="0" w:line="286" w:lineRule="exact"/>
        <w:rPr>
          <w:sz w:val="20"/>
          <w:szCs w:val="20"/>
          <w:color w:val="auto"/>
        </w:rPr>
      </w:pPr>
    </w:p>
    <w:p>
      <w:pPr>
        <w:ind w:left="360"/>
        <w:spacing w:after="0"/>
        <w:rPr>
          <w:sz w:val="20"/>
          <w:szCs w:val="20"/>
          <w:color w:val="auto"/>
        </w:rPr>
      </w:pPr>
      <w:r>
        <w:rPr>
          <w:rFonts w:ascii="Arial" w:cs="Arial" w:eastAsia="Arial" w:hAnsi="Arial"/>
          <w:sz w:val="15"/>
          <w:szCs w:val="15"/>
          <w:color w:val="auto"/>
        </w:rPr>
        <w:t>RPO consisted of the following:</w:t>
      </w:r>
    </w:p>
    <w:p>
      <w:pPr>
        <w:spacing w:after="0" w:line="3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120" w:type="dxa"/>
            <w:vAlign w:val="bottom"/>
            <w:tcBorders>
              <w:bottom w:val="single" w:sz="8" w:color="CCEEFF"/>
            </w:tcBorders>
          </w:tcPr>
          <w:p>
            <w:pPr>
              <w:ind w:left="480"/>
              <w:spacing w:after="0"/>
              <w:rPr>
                <w:sz w:val="20"/>
                <w:szCs w:val="20"/>
                <w:color w:val="auto"/>
              </w:rPr>
            </w:pPr>
            <w:r>
              <w:rPr>
                <w:rFonts w:ascii="Arial" w:cs="Arial" w:eastAsia="Arial" w:hAnsi="Arial"/>
                <w:sz w:val="13"/>
                <w:szCs w:val="13"/>
                <w:i w:val="1"/>
                <w:iCs w:val="1"/>
                <w:color w:val="auto"/>
              </w:rPr>
              <w:t>(in millions)</w:t>
            </w:r>
          </w:p>
        </w:tc>
        <w:tc>
          <w:tcPr>
            <w:tcW w:w="52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jc w:val="right"/>
              <w:ind w:right="151"/>
              <w:spacing w:after="0"/>
              <w:rPr>
                <w:sz w:val="20"/>
                <w:szCs w:val="20"/>
                <w:color w:val="auto"/>
              </w:rPr>
            </w:pPr>
            <w:r>
              <w:rPr>
                <w:rFonts w:ascii="Arial" w:cs="Arial" w:eastAsia="Arial" w:hAnsi="Arial"/>
                <w:sz w:val="13"/>
                <w:szCs w:val="13"/>
                <w:b w:val="1"/>
                <w:bCs w:val="1"/>
                <w:color w:val="auto"/>
              </w:rPr>
              <w:t>April 30, 2023</w:t>
            </w:r>
          </w:p>
        </w:tc>
        <w:tc>
          <w:tcPr>
            <w:tcW w:w="100" w:type="dxa"/>
            <w:vAlign w:val="bottom"/>
            <w:tcBorders>
              <w:bottom w:val="single" w:sz="8" w:color="CCEEFF"/>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jc w:val="right"/>
              <w:ind w:right="51"/>
              <w:spacing w:after="0"/>
              <w:rPr>
                <w:sz w:val="20"/>
                <w:szCs w:val="20"/>
                <w:color w:val="auto"/>
              </w:rPr>
            </w:pPr>
            <w:r>
              <w:rPr>
                <w:rFonts w:ascii="Arial" w:cs="Arial" w:eastAsia="Arial" w:hAnsi="Arial"/>
                <w:sz w:val="13"/>
                <w:szCs w:val="13"/>
                <w:b w:val="1"/>
                <w:bCs w:val="1"/>
                <w:color w:val="auto"/>
                <w:w w:val="99"/>
              </w:rPr>
              <w:t>January 31, 2023</w:t>
            </w:r>
          </w:p>
        </w:tc>
      </w:tr>
      <w:tr>
        <w:trPr>
          <w:trHeight w:val="179"/>
        </w:trPr>
        <w:tc>
          <w:tcPr>
            <w:tcW w:w="7120" w:type="dxa"/>
            <w:vAlign w:val="bottom"/>
            <w:shd w:val="clear" w:color="auto" w:fill="CCEEFF"/>
          </w:tcPr>
          <w:p>
            <w:pPr>
              <w:ind w:left="480"/>
              <w:spacing w:after="0"/>
              <w:rPr>
                <w:sz w:val="20"/>
                <w:szCs w:val="20"/>
                <w:color w:val="auto"/>
              </w:rPr>
            </w:pPr>
            <w:r>
              <w:rPr>
                <w:rFonts w:ascii="Arial" w:cs="Arial" w:eastAsia="Arial" w:hAnsi="Arial"/>
                <w:sz w:val="14"/>
                <w:szCs w:val="14"/>
                <w:color w:val="auto"/>
              </w:rPr>
              <w:t>Current RPO</w:t>
            </w:r>
          </w:p>
        </w:tc>
        <w:tc>
          <w:tcPr>
            <w:tcW w:w="5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3,505</w:t>
            </w:r>
          </w:p>
        </w:tc>
        <w:tc>
          <w:tcPr>
            <w:tcW w:w="56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11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3,518</w:t>
            </w:r>
          </w:p>
        </w:tc>
      </w:tr>
      <w:tr>
        <w:trPr>
          <w:trHeight w:val="185"/>
        </w:trPr>
        <w:tc>
          <w:tcPr>
            <w:tcW w:w="7120" w:type="dxa"/>
            <w:vAlign w:val="bottom"/>
            <w:tcBorders>
              <w:bottom w:val="single" w:sz="8" w:color="CCEEFF"/>
            </w:tcBorders>
          </w:tcPr>
          <w:p>
            <w:pPr>
              <w:ind w:left="480"/>
              <w:spacing w:after="0"/>
              <w:rPr>
                <w:sz w:val="20"/>
                <w:szCs w:val="20"/>
                <w:color w:val="auto"/>
              </w:rPr>
            </w:pPr>
            <w:r>
              <w:rPr>
                <w:rFonts w:ascii="Arial" w:cs="Arial" w:eastAsia="Arial" w:hAnsi="Arial"/>
                <w:sz w:val="14"/>
                <w:szCs w:val="14"/>
                <w:color w:val="auto"/>
              </w:rPr>
              <w:t>Non-current RPO</w:t>
            </w:r>
          </w:p>
        </w:tc>
        <w:tc>
          <w:tcPr>
            <w:tcW w:w="520" w:type="dxa"/>
            <w:vAlign w:val="bottom"/>
            <w:tcBorders>
              <w:bottom w:val="single" w:sz="8" w:color="auto"/>
            </w:tcBorders>
          </w:tcPr>
          <w:p>
            <w:pPr>
              <w:spacing w:after="0"/>
              <w:rPr>
                <w:sz w:val="16"/>
                <w:szCs w:val="16"/>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1,882</w:t>
            </w:r>
          </w:p>
        </w:tc>
        <w:tc>
          <w:tcPr>
            <w:tcW w:w="100" w:type="dxa"/>
            <w:vAlign w:val="bottom"/>
            <w:tcBorders>
              <w:bottom w:val="single" w:sz="8" w:color="CCEEFF"/>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11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2,105</w:t>
            </w:r>
          </w:p>
        </w:tc>
      </w:tr>
      <w:tr>
        <w:trPr>
          <w:trHeight w:val="202"/>
        </w:trPr>
        <w:tc>
          <w:tcPr>
            <w:tcW w:w="7120" w:type="dxa"/>
            <w:vAlign w:val="bottom"/>
            <w:shd w:val="clear" w:color="auto" w:fill="CCEEFF"/>
          </w:tcPr>
          <w:p>
            <w:pPr>
              <w:ind w:left="620"/>
              <w:spacing w:after="0"/>
              <w:rPr>
                <w:sz w:val="20"/>
                <w:szCs w:val="20"/>
                <w:color w:val="auto"/>
              </w:rPr>
            </w:pPr>
            <w:r>
              <w:rPr>
                <w:rFonts w:ascii="Arial" w:cs="Arial" w:eastAsia="Arial" w:hAnsi="Arial"/>
                <w:sz w:val="14"/>
                <w:szCs w:val="14"/>
                <w:color w:val="auto"/>
              </w:rPr>
              <w:t>RPO</w:t>
            </w:r>
          </w:p>
        </w:tc>
        <w:tc>
          <w:tcPr>
            <w:tcW w:w="5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5,387</w:t>
            </w:r>
          </w:p>
        </w:tc>
        <w:tc>
          <w:tcPr>
            <w:tcW w:w="56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11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5,623</w:t>
            </w:r>
          </w:p>
        </w:tc>
      </w:tr>
      <w:tr>
        <w:trPr>
          <w:trHeight w:val="20"/>
        </w:trPr>
        <w:tc>
          <w:tcPr>
            <w:tcW w:w="7120" w:type="dxa"/>
            <w:vAlign w:val="bottom"/>
            <w:tcBorders>
              <w:top w:val="single" w:sz="8" w:color="CCEEFF"/>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46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r>
    </w:tbl>
    <w:p>
      <w:pPr>
        <w:spacing w:after="0" w:line="286" w:lineRule="exact"/>
        <w:rPr>
          <w:sz w:val="20"/>
          <w:szCs w:val="20"/>
          <w:color w:val="auto"/>
        </w:rPr>
      </w:pPr>
    </w:p>
    <w:p>
      <w:pPr>
        <w:ind w:right="120" w:firstLine="351"/>
        <w:spacing w:after="0" w:line="249" w:lineRule="auto"/>
        <w:rPr>
          <w:sz w:val="20"/>
          <w:szCs w:val="20"/>
          <w:color w:val="auto"/>
        </w:rPr>
      </w:pPr>
      <w:r>
        <w:rPr>
          <w:rFonts w:ascii="Arial" w:cs="Arial" w:eastAsia="Arial" w:hAnsi="Arial"/>
          <w:sz w:val="15"/>
          <w:szCs w:val="15"/>
          <w:color w:val="auto"/>
        </w:rPr>
        <w:t>We expect that the amount of RPO will change from quarter to quarter for several reasons, including the specific timing, duration, and size of customer subscription and support agreements, the specific timing of customer renewals, and foreign currency fluctuations. Historically, we have had increased EBA sales activity in our fourth fiscal quarter and this seasonality may affect the relative value of our billings, RPO, and collections in the fourth and first fiscal quarters. As customers transition from multi-year subscription contracts billed upfront to annual billing installments some customers may choose annual contracts instead. If this were to occur, we would expect it to proportionately reduce the unbilled portion of our total remaining performance obligations and would expect it to negatively impact total RPO growth rates. Deferred revenue, billings, current RPO, revenue, Non-GAAP operating margin, and free cash flow would remain broadly unchanged in this scenario.</w:t>
      </w:r>
    </w:p>
    <w:p>
      <w:pPr>
        <w:spacing w:after="0" w:line="194"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Balance Sheet and Cash Flow Items</w:t>
      </w:r>
    </w:p>
    <w:p>
      <w:pPr>
        <w:spacing w:after="0" w:line="232" w:lineRule="exact"/>
        <w:rPr>
          <w:sz w:val="20"/>
          <w:szCs w:val="20"/>
          <w:color w:val="auto"/>
        </w:rPr>
      </w:pPr>
    </w:p>
    <w:p>
      <w:pPr>
        <w:ind w:right="60" w:firstLine="351"/>
        <w:spacing w:after="0" w:line="251" w:lineRule="auto"/>
        <w:rPr>
          <w:sz w:val="20"/>
          <w:szCs w:val="20"/>
          <w:color w:val="auto"/>
        </w:rPr>
      </w:pPr>
      <w:r>
        <w:rPr>
          <w:rFonts w:ascii="Arial" w:cs="Arial" w:eastAsia="Arial" w:hAnsi="Arial"/>
          <w:sz w:val="15"/>
          <w:szCs w:val="15"/>
          <w:color w:val="auto"/>
        </w:rPr>
        <w:t>At April 30, 2023, we had $2.32 billion in cash, cash equivalents, and marketable securities. Our cash flow from operations increased to $723 million for the three months ended April 30, 2023, compared to $434 million for the three months ended April 30, 2022. We repurchased 2,666 thousand shares of our common stock for $534 million during the three months ended April 30, 2023. Comparatively, we repurchased 2,058 thousand shares of our common stock for $436 million during the three months ended April 30, 2022. See further discussion regarding the balance sheet and cash flow activities under the heading “Liquidity and Capital Resources.”</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35" w:name="page36"/>
    <w:bookmarkEnd w:id="35"/>
    <w:p>
      <w:pPr>
        <w:spacing w:after="0"/>
        <w:rPr>
          <w:sz w:val="20"/>
          <w:szCs w:val="20"/>
          <w:color w:val="auto"/>
        </w:rPr>
      </w:pPr>
      <w:r>
        <w:rPr>
          <w:rFonts w:ascii="Arial" w:cs="Arial" w:eastAsia="Arial" w:hAnsi="Arial"/>
          <w:sz w:val="15"/>
          <w:szCs w:val="15"/>
          <w:b w:val="1"/>
          <w:bCs w:val="1"/>
          <w:color w:val="auto"/>
        </w:rPr>
        <w:t>Results of Operations</w:t>
      </w:r>
    </w:p>
    <w:p>
      <w:pPr>
        <w:spacing w:after="0" w:line="228"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Overview</w:t>
      </w:r>
    </w:p>
    <w:p>
      <w:pPr>
        <w:spacing w:after="0" w:line="232" w:lineRule="exact"/>
        <w:rPr>
          <w:sz w:val="20"/>
          <w:szCs w:val="20"/>
          <w:color w:val="auto"/>
        </w:rPr>
      </w:pPr>
    </w:p>
    <w:p>
      <w:pPr>
        <w:ind w:right="220" w:firstLine="351"/>
        <w:spacing w:after="0" w:line="234" w:lineRule="auto"/>
        <w:rPr>
          <w:sz w:val="20"/>
          <w:szCs w:val="20"/>
          <w:color w:val="auto"/>
        </w:rPr>
      </w:pPr>
      <w:r>
        <w:rPr>
          <w:rFonts w:ascii="Arial" w:cs="Arial" w:eastAsia="Arial" w:hAnsi="Arial"/>
          <w:sz w:val="15"/>
          <w:szCs w:val="15"/>
          <w:color w:val="auto"/>
        </w:rPr>
        <w:t>We believe our investment in cloud products and a subscription business model, backed by a strong balance sheet, give us a robust foundation to successfully navigate complex geopolitical and global macro-economic challenges. However, supply chain disruption and resulting inflationary pressures, higher interest rates, a global labor shortage, the war in Ukraine, and foreign exchange rate fluctuations, may impact our outlook. We also expect our transition to annual billings for multi-year contracts to impact the timing of our billings and cash collections. The extent of the impact of these risks on our business in the remainder of fiscal 2024 and beyond will depend on several factors, some of which are out of our control. Further discussion of the potential impacts of these risks on our business can be found in Part II, Item 1A, “Risk Factors.”</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Net Revenue</w:t>
      </w:r>
    </w:p>
    <w:p>
      <w:pPr>
        <w:spacing w:after="0" w:line="226"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Net Revenue by Income Statement Presentation</w:t>
      </w:r>
    </w:p>
    <w:p>
      <w:pPr>
        <w:spacing w:after="0" w:line="232" w:lineRule="exact"/>
        <w:rPr>
          <w:sz w:val="20"/>
          <w:szCs w:val="20"/>
          <w:color w:val="auto"/>
        </w:rPr>
      </w:pPr>
    </w:p>
    <w:p>
      <w:pPr>
        <w:ind w:right="100" w:firstLine="351"/>
        <w:spacing w:after="0" w:line="257" w:lineRule="auto"/>
        <w:rPr>
          <w:sz w:val="20"/>
          <w:szCs w:val="20"/>
          <w:color w:val="auto"/>
        </w:rPr>
      </w:pPr>
      <w:r>
        <w:rPr>
          <w:rFonts w:ascii="Arial" w:cs="Arial" w:eastAsia="Arial" w:hAnsi="Arial"/>
          <w:sz w:val="15"/>
          <w:szCs w:val="15"/>
          <w:color w:val="auto"/>
        </w:rPr>
        <w:t>Subscription revenue consists of our term-based product subscriptions, cloud service offerings, and flexible EBAs. Revenue from these arrangements is predominately recognized ratably over the contract term commencing with the date our service is made available to customers and when all other revenue recognition criteria have been satisfied.</w:t>
      </w:r>
    </w:p>
    <w:p>
      <w:pPr>
        <w:spacing w:after="0" w:line="196" w:lineRule="exact"/>
        <w:rPr>
          <w:sz w:val="20"/>
          <w:szCs w:val="20"/>
          <w:color w:val="auto"/>
        </w:rPr>
      </w:pPr>
    </w:p>
    <w:p>
      <w:pPr>
        <w:ind w:right="380" w:firstLine="387"/>
        <w:spacing w:after="0" w:line="257" w:lineRule="auto"/>
        <w:rPr>
          <w:sz w:val="20"/>
          <w:szCs w:val="20"/>
          <w:color w:val="auto"/>
        </w:rPr>
      </w:pPr>
      <w:r>
        <w:rPr>
          <w:rFonts w:ascii="Arial" w:cs="Arial" w:eastAsia="Arial" w:hAnsi="Arial"/>
          <w:sz w:val="15"/>
          <w:szCs w:val="15"/>
          <w:color w:val="auto"/>
        </w:rPr>
        <w:t>Maintenance revenue consists of renewal fees for existing maintenance plan agreements that were initially purchased with a perpetual software license. Under our maintenance plan, customers are eligible to receive unspecified upgrades, when and if available, and technical support. We recognize maintenance revenue ratably over the term of the agreements, which is generally one year.</w:t>
      </w:r>
    </w:p>
    <w:p>
      <w:pPr>
        <w:spacing w:after="0" w:line="196" w:lineRule="exact"/>
        <w:rPr>
          <w:sz w:val="20"/>
          <w:szCs w:val="20"/>
          <w:color w:val="auto"/>
        </w:rPr>
      </w:pPr>
    </w:p>
    <w:p>
      <w:pPr>
        <w:ind w:right="460" w:firstLine="387"/>
        <w:spacing w:after="0" w:line="271" w:lineRule="auto"/>
        <w:rPr>
          <w:sz w:val="20"/>
          <w:szCs w:val="20"/>
          <w:color w:val="auto"/>
        </w:rPr>
      </w:pPr>
      <w:r>
        <w:rPr>
          <w:rFonts w:ascii="Arial" w:cs="Arial" w:eastAsia="Arial" w:hAnsi="Arial"/>
          <w:sz w:val="15"/>
          <w:szCs w:val="15"/>
          <w:color w:val="auto"/>
        </w:rPr>
        <w:t>Other revenue consists of revenue from consulting, training, and other products and services, and is recognized as the products are delivered and services are performed.</w:t>
      </w:r>
    </w:p>
    <w:p>
      <w:pPr>
        <w:spacing w:after="0" w:line="335" w:lineRule="exact"/>
        <w:rPr>
          <w:sz w:val="20"/>
          <w:szCs w:val="20"/>
          <w:color w:val="auto"/>
        </w:rPr>
      </w:pPr>
    </w:p>
    <w:tbl>
      <w:tblPr>
        <w:tblLayout w:type="fixed"/>
        <w:tblInd w:w="360" w:type="dxa"/>
        <w:tblCellMar>
          <w:top w:w="0" w:type="dxa"/>
          <w:left w:w="0" w:type="dxa"/>
          <w:bottom w:w="0" w:type="dxa"/>
          <w:right w:w="0" w:type="dxa"/>
        </w:tblCellMar>
      </w:tblPr>
      <w:tr>
        <w:trPr>
          <w:trHeight w:val="149"/>
        </w:trPr>
        <w:tc>
          <w:tcPr>
            <w:tcW w:w="290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680" w:type="dxa"/>
            <w:vAlign w:val="bottom"/>
          </w:tcPr>
          <w:p>
            <w:pPr>
              <w:jc w:val="right"/>
              <w:ind w:right="171"/>
              <w:spacing w:after="0"/>
              <w:rPr>
                <w:sz w:val="20"/>
                <w:szCs w:val="20"/>
                <w:color w:val="auto"/>
              </w:rPr>
            </w:pPr>
            <w:r>
              <w:rPr>
                <w:rFonts w:ascii="Arial" w:cs="Arial" w:eastAsia="Arial" w:hAnsi="Arial"/>
                <w:sz w:val="13"/>
                <w:szCs w:val="13"/>
                <w:b w:val="1"/>
                <w:bCs w:val="1"/>
                <w:color w:val="auto"/>
              </w:rPr>
              <w:t>Three</w:t>
            </w: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760" w:type="dxa"/>
            <w:vAlign w:val="bottom"/>
            <w:gridSpan w:val="4"/>
          </w:tcPr>
          <w:p>
            <w:pPr>
              <w:jc w:val="right"/>
              <w:spacing w:after="0"/>
              <w:rPr>
                <w:sz w:val="20"/>
                <w:szCs w:val="20"/>
                <w:color w:val="auto"/>
              </w:rPr>
            </w:pPr>
            <w:r>
              <w:rPr>
                <w:rFonts w:ascii="Arial" w:cs="Arial" w:eastAsia="Arial" w:hAnsi="Arial"/>
                <w:sz w:val="13"/>
                <w:szCs w:val="13"/>
                <w:b w:val="1"/>
                <w:bCs w:val="1"/>
                <w:color w:val="auto"/>
              </w:rPr>
              <w:t>Change Compared to Prior</w:t>
            </w:r>
          </w:p>
        </w:tc>
        <w:tc>
          <w:tcPr>
            <w:tcW w:w="2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700" w:type="dxa"/>
            <w:vAlign w:val="bottom"/>
          </w:tcPr>
          <w:p>
            <w:pPr>
              <w:jc w:val="right"/>
              <w:ind w:right="191"/>
              <w:spacing w:after="0"/>
              <w:rPr>
                <w:sz w:val="20"/>
                <w:szCs w:val="20"/>
                <w:color w:val="auto"/>
              </w:rPr>
            </w:pPr>
            <w:r>
              <w:rPr>
                <w:rFonts w:ascii="Arial" w:cs="Arial" w:eastAsia="Arial" w:hAnsi="Arial"/>
                <w:sz w:val="13"/>
                <w:szCs w:val="13"/>
                <w:b w:val="1"/>
                <w:bCs w:val="1"/>
                <w:color w:val="auto"/>
              </w:rPr>
              <w:t>Three</w:t>
            </w:r>
          </w:p>
        </w:tc>
        <w:tc>
          <w:tcPr>
            <w:tcW w:w="80" w:type="dxa"/>
            <w:vAlign w:val="bottom"/>
          </w:tcPr>
          <w:p>
            <w:pPr>
              <w:spacing w:after="0"/>
              <w:rPr>
                <w:sz w:val="13"/>
                <w:szCs w:val="13"/>
                <w:color w:val="auto"/>
              </w:rPr>
            </w:pPr>
          </w:p>
        </w:tc>
        <w:tc>
          <w:tcPr>
            <w:tcW w:w="22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76"/>
        </w:trPr>
        <w:tc>
          <w:tcPr>
            <w:tcW w:w="2900" w:type="dxa"/>
            <w:vAlign w:val="bottom"/>
          </w:tcPr>
          <w:p>
            <w:pPr>
              <w:spacing w:after="0"/>
              <w:rPr>
                <w:sz w:val="15"/>
                <w:szCs w:val="15"/>
                <w:color w:val="auto"/>
              </w:rPr>
            </w:pPr>
          </w:p>
        </w:tc>
        <w:tc>
          <w:tcPr>
            <w:tcW w:w="1200" w:type="dxa"/>
            <w:vAlign w:val="bottom"/>
            <w:tcBorders>
              <w:bottom w:val="single" w:sz="8" w:color="auto"/>
            </w:tcBorders>
            <w:gridSpan w:val="2"/>
          </w:tcPr>
          <w:p>
            <w:pPr>
              <w:jc w:val="right"/>
              <w:ind w:right="91"/>
              <w:spacing w:after="0"/>
              <w:rPr>
                <w:sz w:val="20"/>
                <w:szCs w:val="20"/>
                <w:color w:val="auto"/>
              </w:rPr>
            </w:pPr>
            <w:r>
              <w:rPr>
                <w:rFonts w:ascii="Arial" w:cs="Arial" w:eastAsia="Arial" w:hAnsi="Arial"/>
                <w:sz w:val="13"/>
                <w:szCs w:val="13"/>
                <w:b w:val="1"/>
                <w:bCs w:val="1"/>
                <w:color w:val="auto"/>
              </w:rPr>
              <w:t>Months Ended</w:t>
            </w:r>
          </w:p>
        </w:tc>
        <w:tc>
          <w:tcPr>
            <w:tcW w:w="80" w:type="dxa"/>
            <w:vAlign w:val="bottom"/>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40" w:type="dxa"/>
            <w:vAlign w:val="bottom"/>
            <w:tcBorders>
              <w:bottom w:val="single" w:sz="8" w:color="auto"/>
            </w:tcBorders>
            <w:gridSpan w:val="3"/>
          </w:tcPr>
          <w:p>
            <w:pPr>
              <w:ind w:left="380"/>
              <w:spacing w:after="0"/>
              <w:rPr>
                <w:sz w:val="20"/>
                <w:szCs w:val="20"/>
                <w:color w:val="auto"/>
              </w:rPr>
            </w:pPr>
            <w:r>
              <w:rPr>
                <w:rFonts w:ascii="Arial" w:cs="Arial" w:eastAsia="Arial" w:hAnsi="Arial"/>
                <w:sz w:val="13"/>
                <w:szCs w:val="13"/>
                <w:b w:val="1"/>
                <w:bCs w:val="1"/>
                <w:color w:val="auto"/>
              </w:rPr>
              <w:t>Fiscal Year</w:t>
            </w:r>
          </w:p>
        </w:tc>
        <w:tc>
          <w:tcPr>
            <w:tcW w:w="620" w:type="dxa"/>
            <w:vAlign w:val="bottom"/>
            <w:tcBorders>
              <w:bottom w:val="single" w:sz="8" w:color="auto"/>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1220" w:type="dxa"/>
            <w:vAlign w:val="bottom"/>
            <w:tcBorders>
              <w:bottom w:val="single" w:sz="8" w:color="auto"/>
            </w:tcBorders>
            <w:gridSpan w:val="2"/>
          </w:tcPr>
          <w:p>
            <w:pPr>
              <w:jc w:val="right"/>
              <w:ind w:right="111"/>
              <w:spacing w:after="0"/>
              <w:rPr>
                <w:sz w:val="20"/>
                <w:szCs w:val="20"/>
                <w:color w:val="auto"/>
              </w:rPr>
            </w:pPr>
            <w:r>
              <w:rPr>
                <w:rFonts w:ascii="Arial" w:cs="Arial" w:eastAsia="Arial" w:hAnsi="Arial"/>
                <w:sz w:val="13"/>
                <w:szCs w:val="13"/>
                <w:b w:val="1"/>
                <w:bCs w:val="1"/>
                <w:color w:val="auto"/>
              </w:rPr>
              <w:t>Months Ended</w:t>
            </w:r>
          </w:p>
        </w:tc>
        <w:tc>
          <w:tcPr>
            <w:tcW w:w="80" w:type="dxa"/>
            <w:vAlign w:val="bottom"/>
          </w:tcPr>
          <w:p>
            <w:pPr>
              <w:spacing w:after="0"/>
              <w:rPr>
                <w:sz w:val="15"/>
                <w:szCs w:val="15"/>
                <w:color w:val="auto"/>
              </w:rPr>
            </w:pPr>
          </w:p>
        </w:tc>
        <w:tc>
          <w:tcPr>
            <w:tcW w:w="22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08"/>
        </w:trPr>
        <w:tc>
          <w:tcPr>
            <w:tcW w:w="2900" w:type="dxa"/>
            <w:vAlign w:val="bottom"/>
            <w:tcBorders>
              <w:bottom w:val="single" w:sz="8" w:color="CCEEFF"/>
            </w:tcBorders>
          </w:tcPr>
          <w:p>
            <w:pPr>
              <w:ind w:left="360"/>
              <w:spacing w:after="0"/>
              <w:rPr>
                <w:sz w:val="20"/>
                <w:szCs w:val="20"/>
                <w:color w:val="auto"/>
              </w:rPr>
            </w:pPr>
            <w:r>
              <w:rPr>
                <w:rFonts w:ascii="Arial" w:cs="Arial" w:eastAsia="Arial" w:hAnsi="Arial"/>
                <w:sz w:val="13"/>
                <w:szCs w:val="13"/>
                <w:i w:val="1"/>
                <w:iCs w:val="1"/>
                <w:color w:val="auto"/>
              </w:rPr>
              <w:t>(In millions, except percentages)</w:t>
            </w:r>
          </w:p>
        </w:tc>
        <w:tc>
          <w:tcPr>
            <w:tcW w:w="1200" w:type="dxa"/>
            <w:vAlign w:val="bottom"/>
            <w:tcBorders>
              <w:bottom w:val="single" w:sz="8" w:color="auto"/>
            </w:tcBorders>
            <w:gridSpan w:val="2"/>
          </w:tcPr>
          <w:p>
            <w:pPr>
              <w:ind w:left="360"/>
              <w:spacing w:after="0"/>
              <w:rPr>
                <w:sz w:val="20"/>
                <w:szCs w:val="20"/>
                <w:color w:val="auto"/>
              </w:rPr>
            </w:pPr>
            <w:r>
              <w:rPr>
                <w:rFonts w:ascii="Arial" w:cs="Arial" w:eastAsia="Arial" w:hAnsi="Arial"/>
                <w:sz w:val="13"/>
                <w:szCs w:val="13"/>
                <w:b w:val="1"/>
                <w:bCs w:val="1"/>
                <w:color w:val="auto"/>
                <w:w w:val="97"/>
              </w:rPr>
              <w:t>April 30, 2023</w:t>
            </w:r>
          </w:p>
        </w:tc>
        <w:tc>
          <w:tcPr>
            <w:tcW w:w="80" w:type="dxa"/>
            <w:vAlign w:val="bottom"/>
            <w:tcBorders>
              <w:bottom w:val="single" w:sz="8" w:color="CCEEFF"/>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jc w:val="right"/>
              <w:ind w:right="352"/>
              <w:spacing w:after="0"/>
              <w:rPr>
                <w:sz w:val="20"/>
                <w:szCs w:val="20"/>
                <w:color w:val="auto"/>
              </w:rPr>
            </w:pPr>
            <w:r>
              <w:rPr>
                <w:rFonts w:ascii="Arial" w:cs="Arial" w:eastAsia="Arial" w:hAnsi="Arial"/>
                <w:sz w:val="13"/>
                <w:szCs w:val="13"/>
                <w:b w:val="1"/>
                <w:bCs w:val="1"/>
                <w:color w:val="auto"/>
              </w:rPr>
              <w:t>$</w:t>
            </w:r>
          </w:p>
        </w:tc>
        <w:tc>
          <w:tcPr>
            <w:tcW w:w="80" w:type="dxa"/>
            <w:vAlign w:val="bottom"/>
            <w:tcBorders>
              <w:bottom w:val="single" w:sz="8" w:color="CCEEFF"/>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jc w:val="right"/>
              <w:ind w:right="211"/>
              <w:spacing w:after="0"/>
              <w:rPr>
                <w:sz w:val="20"/>
                <w:szCs w:val="20"/>
                <w:color w:val="auto"/>
              </w:rPr>
            </w:pPr>
            <w:r>
              <w:rPr>
                <w:rFonts w:ascii="Arial" w:cs="Arial" w:eastAsia="Arial" w:hAnsi="Arial"/>
                <w:sz w:val="13"/>
                <w:szCs w:val="13"/>
                <w:b w:val="1"/>
                <w:bCs w:val="1"/>
                <w:color w:val="auto"/>
              </w:rPr>
              <w:t>%</w:t>
            </w:r>
          </w:p>
        </w:tc>
        <w:tc>
          <w:tcPr>
            <w:tcW w:w="200" w:type="dxa"/>
            <w:vAlign w:val="bottom"/>
            <w:tcBorders>
              <w:bottom w:val="single" w:sz="8" w:color="auto"/>
            </w:tcBorders>
          </w:tcPr>
          <w:p>
            <w:pPr>
              <w:spacing w:after="0"/>
              <w:rPr>
                <w:sz w:val="24"/>
                <w:szCs w:val="24"/>
                <w:color w:val="auto"/>
              </w:rPr>
            </w:pPr>
          </w:p>
        </w:tc>
        <w:tc>
          <w:tcPr>
            <w:tcW w:w="80" w:type="dxa"/>
            <w:vAlign w:val="bottom"/>
            <w:tcBorders>
              <w:bottom w:val="single" w:sz="8" w:color="CCEEFF"/>
            </w:tcBorders>
          </w:tcPr>
          <w:p>
            <w:pPr>
              <w:spacing w:after="0"/>
              <w:rPr>
                <w:sz w:val="24"/>
                <w:szCs w:val="24"/>
                <w:color w:val="auto"/>
              </w:rPr>
            </w:pPr>
          </w:p>
        </w:tc>
        <w:tc>
          <w:tcPr>
            <w:tcW w:w="1220" w:type="dxa"/>
            <w:vAlign w:val="bottom"/>
            <w:tcBorders>
              <w:bottom w:val="single" w:sz="8" w:color="auto"/>
            </w:tcBorders>
            <w:gridSpan w:val="2"/>
          </w:tcPr>
          <w:p>
            <w:pPr>
              <w:ind w:left="380"/>
              <w:spacing w:after="0"/>
              <w:rPr>
                <w:sz w:val="20"/>
                <w:szCs w:val="20"/>
                <w:color w:val="auto"/>
              </w:rPr>
            </w:pPr>
            <w:r>
              <w:rPr>
                <w:rFonts w:ascii="Arial" w:cs="Arial" w:eastAsia="Arial" w:hAnsi="Arial"/>
                <w:sz w:val="13"/>
                <w:szCs w:val="13"/>
                <w:b w:val="1"/>
                <w:bCs w:val="1"/>
                <w:color w:val="auto"/>
                <w:w w:val="97"/>
              </w:rPr>
              <w:t>April 30, 2022</w:t>
            </w:r>
          </w:p>
        </w:tc>
        <w:tc>
          <w:tcPr>
            <w:tcW w:w="80" w:type="dxa"/>
            <w:vAlign w:val="bottom"/>
            <w:tcBorders>
              <w:bottom w:val="single" w:sz="8" w:color="CCEEFF"/>
            </w:tcBorders>
          </w:tcPr>
          <w:p>
            <w:pPr>
              <w:spacing w:after="0"/>
              <w:rPr>
                <w:sz w:val="24"/>
                <w:szCs w:val="24"/>
                <w:color w:val="auto"/>
              </w:rPr>
            </w:pPr>
          </w:p>
        </w:tc>
        <w:tc>
          <w:tcPr>
            <w:tcW w:w="2260" w:type="dxa"/>
            <w:vAlign w:val="bottom"/>
            <w:tcBorders>
              <w:bottom w:val="single" w:sz="8" w:color="auto"/>
            </w:tcBorders>
          </w:tcPr>
          <w:p>
            <w:pPr>
              <w:ind w:left="680"/>
              <w:spacing w:after="0"/>
              <w:rPr>
                <w:sz w:val="20"/>
                <w:szCs w:val="20"/>
                <w:color w:val="auto"/>
              </w:rPr>
            </w:pPr>
            <w:r>
              <w:rPr>
                <w:rFonts w:ascii="Arial" w:cs="Arial" w:eastAsia="Arial" w:hAnsi="Arial"/>
                <w:sz w:val="13"/>
                <w:szCs w:val="13"/>
                <w:b w:val="1"/>
                <w:bCs w:val="1"/>
                <w:color w:val="auto"/>
              </w:rPr>
              <w:t>Management comments</w:t>
            </w:r>
          </w:p>
        </w:tc>
        <w:tc>
          <w:tcPr>
            <w:tcW w:w="0" w:type="dxa"/>
            <w:vAlign w:val="bottom"/>
          </w:tcPr>
          <w:p>
            <w:pPr>
              <w:spacing w:after="0"/>
              <w:rPr>
                <w:sz w:val="1"/>
                <w:szCs w:val="1"/>
                <w:color w:val="auto"/>
              </w:rPr>
            </w:pPr>
          </w:p>
        </w:tc>
      </w:tr>
      <w:tr>
        <w:trPr>
          <w:trHeight w:val="167"/>
        </w:trPr>
        <w:tc>
          <w:tcPr>
            <w:tcW w:w="2900" w:type="dxa"/>
            <w:vAlign w:val="bottom"/>
            <w:shd w:val="clear" w:color="auto" w:fill="CCEEFF"/>
          </w:tcPr>
          <w:p>
            <w:pPr>
              <w:ind w:left="360"/>
              <w:spacing w:after="0"/>
              <w:rPr>
                <w:sz w:val="20"/>
                <w:szCs w:val="20"/>
                <w:color w:val="auto"/>
              </w:rPr>
            </w:pPr>
            <w:r>
              <w:rPr>
                <w:rFonts w:ascii="Arial" w:cs="Arial" w:eastAsia="Arial" w:hAnsi="Arial"/>
                <w:sz w:val="14"/>
                <w:szCs w:val="14"/>
                <w:color w:val="auto"/>
              </w:rPr>
              <w:t>Net Revenue:</w:t>
            </w:r>
          </w:p>
        </w:tc>
        <w:tc>
          <w:tcPr>
            <w:tcW w:w="520" w:type="dxa"/>
            <w:vAlign w:val="bottom"/>
            <w:shd w:val="clear" w:color="auto" w:fill="CCEEFF"/>
          </w:tcPr>
          <w:p>
            <w:pPr>
              <w:spacing w:after="0"/>
              <w:rPr>
                <w:sz w:val="14"/>
                <w:szCs w:val="14"/>
                <w:color w:val="auto"/>
              </w:rPr>
            </w:pPr>
          </w:p>
        </w:tc>
        <w:tc>
          <w:tcPr>
            <w:tcW w:w="68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20" w:type="dxa"/>
            <w:vAlign w:val="bottom"/>
            <w:shd w:val="clear" w:color="auto" w:fill="CCEEFF"/>
          </w:tcPr>
          <w:p>
            <w:pPr>
              <w:spacing w:after="0"/>
              <w:rPr>
                <w:sz w:val="14"/>
                <w:szCs w:val="14"/>
                <w:color w:val="auto"/>
              </w:rPr>
            </w:pPr>
          </w:p>
        </w:tc>
        <w:tc>
          <w:tcPr>
            <w:tcW w:w="6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440" w:type="dxa"/>
            <w:vAlign w:val="bottom"/>
            <w:shd w:val="clear" w:color="auto" w:fill="CCEEFF"/>
          </w:tcPr>
          <w:p>
            <w:pPr>
              <w:spacing w:after="0"/>
              <w:rPr>
                <w:sz w:val="14"/>
                <w:szCs w:val="14"/>
                <w:color w:val="auto"/>
              </w:rPr>
            </w:pPr>
          </w:p>
        </w:tc>
        <w:tc>
          <w:tcPr>
            <w:tcW w:w="62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20" w:type="dxa"/>
            <w:vAlign w:val="bottom"/>
            <w:shd w:val="clear" w:color="auto" w:fill="CCEEFF"/>
          </w:tcPr>
          <w:p>
            <w:pPr>
              <w:spacing w:after="0"/>
              <w:rPr>
                <w:sz w:val="14"/>
                <w:szCs w:val="14"/>
                <w:color w:val="auto"/>
              </w:rPr>
            </w:pPr>
          </w:p>
        </w:tc>
        <w:tc>
          <w:tcPr>
            <w:tcW w:w="70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26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4"/>
        </w:trPr>
        <w:tc>
          <w:tcPr>
            <w:tcW w:w="2900" w:type="dxa"/>
            <w:vAlign w:val="bottom"/>
          </w:tcPr>
          <w:p>
            <w:pPr>
              <w:ind w:left="640"/>
              <w:spacing w:after="0" w:line="144" w:lineRule="exact"/>
              <w:rPr>
                <w:sz w:val="20"/>
                <w:szCs w:val="20"/>
                <w:color w:val="auto"/>
              </w:rPr>
            </w:pPr>
            <w:r>
              <w:rPr>
                <w:rFonts w:ascii="Arial" w:cs="Arial" w:eastAsia="Arial" w:hAnsi="Arial"/>
                <w:sz w:val="14"/>
                <w:szCs w:val="14"/>
                <w:color w:val="auto"/>
              </w:rPr>
              <w:t>Subscription</w:t>
            </w:r>
          </w:p>
        </w:tc>
        <w:tc>
          <w:tcPr>
            <w:tcW w:w="520" w:type="dxa"/>
            <w:vAlign w:val="bottom"/>
          </w:tcPr>
          <w:p>
            <w:pPr>
              <w:ind w:left="360"/>
              <w:spacing w:after="0" w:line="144" w:lineRule="exact"/>
              <w:rPr>
                <w:sz w:val="20"/>
                <w:szCs w:val="20"/>
                <w:color w:val="auto"/>
              </w:rPr>
            </w:pPr>
            <w:r>
              <w:rPr>
                <w:rFonts w:ascii="Arial" w:cs="Arial" w:eastAsia="Arial" w:hAnsi="Arial"/>
                <w:sz w:val="14"/>
                <w:szCs w:val="14"/>
                <w:color w:val="auto"/>
              </w:rPr>
              <w:t>$</w:t>
            </w: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1,193</w:t>
            </w:r>
          </w:p>
        </w:tc>
        <w:tc>
          <w:tcPr>
            <w:tcW w:w="600" w:type="dxa"/>
            <w:vAlign w:val="bottom"/>
            <w:gridSpan w:val="2"/>
          </w:tcPr>
          <w:p>
            <w:pPr>
              <w:jc w:val="right"/>
              <w:ind w:right="60"/>
              <w:spacing w:after="0" w:line="144" w:lineRule="exact"/>
              <w:rPr>
                <w:sz w:val="20"/>
                <w:szCs w:val="20"/>
                <w:color w:val="auto"/>
              </w:rPr>
            </w:pPr>
            <w:r>
              <w:rPr>
                <w:rFonts w:ascii="Arial" w:cs="Arial" w:eastAsia="Arial" w:hAnsi="Arial"/>
                <w:sz w:val="14"/>
                <w:szCs w:val="14"/>
                <w:color w:val="auto"/>
              </w:rPr>
              <w:t>$</w:t>
            </w:r>
          </w:p>
        </w:tc>
        <w:tc>
          <w:tcPr>
            <w:tcW w:w="620" w:type="dxa"/>
            <w:vAlign w:val="bottom"/>
          </w:tcPr>
          <w:p>
            <w:pPr>
              <w:jc w:val="right"/>
              <w:spacing w:after="0" w:line="144" w:lineRule="exact"/>
              <w:rPr>
                <w:sz w:val="20"/>
                <w:szCs w:val="20"/>
                <w:color w:val="auto"/>
              </w:rPr>
            </w:pPr>
            <w:r>
              <w:rPr>
                <w:rFonts w:ascii="Arial" w:cs="Arial" w:eastAsia="Arial" w:hAnsi="Arial"/>
                <w:sz w:val="14"/>
                <w:szCs w:val="14"/>
                <w:color w:val="auto"/>
              </w:rPr>
              <w:t>104</w:t>
            </w: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jc w:val="right"/>
              <w:ind w:right="271"/>
              <w:spacing w:after="0" w:line="144" w:lineRule="exact"/>
              <w:rPr>
                <w:sz w:val="20"/>
                <w:szCs w:val="20"/>
                <w:color w:val="auto"/>
              </w:rPr>
            </w:pPr>
            <w:r>
              <w:rPr>
                <w:rFonts w:ascii="Arial" w:cs="Arial" w:eastAsia="Arial" w:hAnsi="Arial"/>
                <w:sz w:val="14"/>
                <w:szCs w:val="14"/>
                <w:color w:val="auto"/>
              </w:rPr>
              <w:t>10</w:t>
            </w:r>
          </w:p>
        </w:tc>
        <w:tc>
          <w:tcPr>
            <w:tcW w:w="20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600" w:type="dxa"/>
            <w:vAlign w:val="bottom"/>
            <w:gridSpan w:val="2"/>
          </w:tcPr>
          <w:p>
            <w:pPr>
              <w:ind w:left="440"/>
              <w:spacing w:after="0" w:line="144" w:lineRule="exact"/>
              <w:rPr>
                <w:sz w:val="20"/>
                <w:szCs w:val="20"/>
                <w:color w:val="auto"/>
              </w:rPr>
            </w:pPr>
            <w:r>
              <w:rPr>
                <w:rFonts w:ascii="Arial" w:cs="Arial" w:eastAsia="Arial" w:hAnsi="Arial"/>
                <w:sz w:val="14"/>
                <w:szCs w:val="14"/>
                <w:color w:val="auto"/>
              </w:rPr>
              <w:t>$</w:t>
            </w:r>
          </w:p>
        </w:tc>
        <w:tc>
          <w:tcPr>
            <w:tcW w:w="700" w:type="dxa"/>
            <w:vAlign w:val="bottom"/>
          </w:tcPr>
          <w:p>
            <w:pPr>
              <w:jc w:val="right"/>
              <w:spacing w:after="0" w:line="144" w:lineRule="exact"/>
              <w:rPr>
                <w:sz w:val="20"/>
                <w:szCs w:val="20"/>
                <w:color w:val="auto"/>
              </w:rPr>
            </w:pPr>
            <w:r>
              <w:rPr>
                <w:rFonts w:ascii="Arial" w:cs="Arial" w:eastAsia="Arial" w:hAnsi="Arial"/>
                <w:sz w:val="14"/>
                <w:szCs w:val="14"/>
                <w:color w:val="auto"/>
              </w:rPr>
              <w:t>1,089</w:t>
            </w:r>
          </w:p>
        </w:tc>
        <w:tc>
          <w:tcPr>
            <w:tcW w:w="80" w:type="dxa"/>
            <w:vAlign w:val="bottom"/>
          </w:tcPr>
          <w:p>
            <w:pPr>
              <w:spacing w:after="0"/>
              <w:rPr>
                <w:sz w:val="12"/>
                <w:szCs w:val="12"/>
                <w:color w:val="auto"/>
              </w:rPr>
            </w:pPr>
          </w:p>
        </w:tc>
        <w:tc>
          <w:tcPr>
            <w:tcW w:w="2260" w:type="dxa"/>
            <w:vAlign w:val="bottom"/>
          </w:tcPr>
          <w:p>
            <w:pPr>
              <w:ind w:left="360"/>
              <w:spacing w:after="0" w:line="144" w:lineRule="exact"/>
              <w:rPr>
                <w:sz w:val="20"/>
                <w:szCs w:val="20"/>
                <w:color w:val="auto"/>
              </w:rPr>
            </w:pPr>
            <w:r>
              <w:rPr>
                <w:rFonts w:ascii="Arial" w:cs="Arial" w:eastAsia="Arial" w:hAnsi="Arial"/>
                <w:sz w:val="14"/>
                <w:szCs w:val="14"/>
                <w:color w:val="auto"/>
              </w:rPr>
              <w:t>Increase due to growth in the</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rPr>
              <w:t>subscriber base across subscription</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rPr>
              <w:t>types, led by subscription renewal</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rPr>
              <w:t>revenue with current-year subscripti</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w w:val="99"/>
              </w:rPr>
              <w:t>renewals reflecting new subscription</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w w:val="98"/>
              </w:rPr>
              <w:t>sold in prior period. Also contributing</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w w:val="99"/>
              </w:rPr>
              <w:t>the growth was an increase in reven</w:t>
            </w:r>
          </w:p>
        </w:tc>
        <w:tc>
          <w:tcPr>
            <w:tcW w:w="0" w:type="dxa"/>
            <w:vAlign w:val="bottom"/>
          </w:tcPr>
          <w:p>
            <w:pPr>
              <w:spacing w:after="0"/>
              <w:rPr>
                <w:sz w:val="1"/>
                <w:szCs w:val="1"/>
                <w:color w:val="auto"/>
              </w:rPr>
            </w:pPr>
          </w:p>
        </w:tc>
      </w:tr>
      <w:tr>
        <w:trPr>
          <w:trHeight w:val="141"/>
        </w:trPr>
        <w:tc>
          <w:tcPr>
            <w:tcW w:w="29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260" w:type="dxa"/>
            <w:vAlign w:val="bottom"/>
          </w:tcPr>
          <w:p>
            <w:pPr>
              <w:spacing w:after="0" w:line="141" w:lineRule="exact"/>
              <w:rPr>
                <w:sz w:val="20"/>
                <w:szCs w:val="20"/>
                <w:color w:val="auto"/>
              </w:rPr>
            </w:pPr>
            <w:r>
              <w:rPr>
                <w:rFonts w:ascii="Arial" w:cs="Arial" w:eastAsia="Arial" w:hAnsi="Arial"/>
                <w:sz w:val="14"/>
                <w:szCs w:val="14"/>
                <w:color w:val="auto"/>
                <w:w w:val="97"/>
              </w:rPr>
              <w:t>from Cloud Service Offerings and EB</w:t>
            </w:r>
          </w:p>
        </w:tc>
        <w:tc>
          <w:tcPr>
            <w:tcW w:w="0" w:type="dxa"/>
            <w:vAlign w:val="bottom"/>
          </w:tcPr>
          <w:p>
            <w:pPr>
              <w:spacing w:after="0"/>
              <w:rPr>
                <w:sz w:val="1"/>
                <w:szCs w:val="1"/>
                <w:color w:val="auto"/>
              </w:rPr>
            </w:pPr>
          </w:p>
        </w:tc>
      </w:tr>
      <w:tr>
        <w:trPr>
          <w:trHeight w:val="182"/>
        </w:trPr>
        <w:tc>
          <w:tcPr>
            <w:tcW w:w="290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7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260" w:type="dxa"/>
            <w:vAlign w:val="bottom"/>
          </w:tcPr>
          <w:p>
            <w:pPr>
              <w:spacing w:after="0"/>
              <w:rPr>
                <w:sz w:val="20"/>
                <w:szCs w:val="20"/>
                <w:color w:val="auto"/>
              </w:rPr>
            </w:pPr>
            <w:r>
              <w:rPr>
                <w:rFonts w:ascii="Arial" w:cs="Arial" w:eastAsia="Arial" w:hAnsi="Arial"/>
                <w:sz w:val="14"/>
                <w:szCs w:val="14"/>
                <w:color w:val="auto"/>
              </w:rPr>
              <w:t>offerings.</w:t>
            </w:r>
          </w:p>
        </w:tc>
        <w:tc>
          <w:tcPr>
            <w:tcW w:w="0" w:type="dxa"/>
            <w:vAlign w:val="bottom"/>
          </w:tcPr>
          <w:p>
            <w:pPr>
              <w:spacing w:after="0"/>
              <w:rPr>
                <w:sz w:val="1"/>
                <w:szCs w:val="1"/>
                <w:color w:val="auto"/>
              </w:rPr>
            </w:pPr>
          </w:p>
        </w:tc>
      </w:tr>
      <w:tr>
        <w:trPr>
          <w:trHeight w:val="190"/>
        </w:trPr>
        <w:tc>
          <w:tcPr>
            <w:tcW w:w="2900" w:type="dxa"/>
            <w:vAlign w:val="bottom"/>
            <w:shd w:val="clear" w:color="auto" w:fill="CCEEFF"/>
          </w:tcPr>
          <w:p>
            <w:pPr>
              <w:ind w:left="640"/>
              <w:spacing w:after="0"/>
              <w:rPr>
                <w:sz w:val="20"/>
                <w:szCs w:val="20"/>
                <w:color w:val="auto"/>
              </w:rPr>
            </w:pPr>
            <w:r>
              <w:rPr>
                <w:rFonts w:ascii="Arial" w:cs="Arial" w:eastAsia="Arial" w:hAnsi="Arial"/>
                <w:sz w:val="14"/>
                <w:szCs w:val="14"/>
                <w:color w:val="auto"/>
              </w:rPr>
              <w:t>Maintenance</w:t>
            </w:r>
          </w:p>
        </w:tc>
        <w:tc>
          <w:tcPr>
            <w:tcW w:w="520" w:type="dxa"/>
            <w:vAlign w:val="bottom"/>
            <w:tcBorders>
              <w:bottom w:val="single" w:sz="8" w:color="auto"/>
            </w:tcBorders>
            <w:shd w:val="clear" w:color="auto" w:fill="CCEEFF"/>
          </w:tcPr>
          <w:p>
            <w:pPr>
              <w:spacing w:after="0"/>
              <w:rPr>
                <w:sz w:val="16"/>
                <w:szCs w:val="16"/>
                <w:color w:val="auto"/>
              </w:rPr>
            </w:pPr>
          </w:p>
        </w:tc>
        <w:tc>
          <w:tcPr>
            <w:tcW w:w="6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14</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6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(4)</w:t>
            </w:r>
          </w:p>
        </w:tc>
        <w:tc>
          <w:tcPr>
            <w:tcW w:w="80" w:type="dxa"/>
            <w:vAlign w:val="bottom"/>
            <w:shd w:val="clear" w:color="auto" w:fill="CCEEFF"/>
          </w:tcPr>
          <w:p>
            <w:pPr>
              <w:spacing w:after="0"/>
              <w:rPr>
                <w:sz w:val="16"/>
                <w:szCs w:val="16"/>
                <w:color w:val="auto"/>
              </w:rPr>
            </w:pPr>
          </w:p>
        </w:tc>
        <w:tc>
          <w:tcPr>
            <w:tcW w:w="440" w:type="dxa"/>
            <w:vAlign w:val="bottom"/>
            <w:shd w:val="clear" w:color="auto" w:fill="CCEEFF"/>
          </w:tcPr>
          <w:p>
            <w:pPr>
              <w:spacing w:after="0"/>
              <w:rPr>
                <w:sz w:val="16"/>
                <w:szCs w:val="16"/>
                <w:color w:val="auto"/>
              </w:rPr>
            </w:pPr>
          </w:p>
        </w:tc>
        <w:tc>
          <w:tcPr>
            <w:tcW w:w="620" w:type="dxa"/>
            <w:vAlign w:val="bottom"/>
            <w:shd w:val="clear" w:color="auto" w:fill="CCEEFF"/>
          </w:tcPr>
          <w:p>
            <w:pPr>
              <w:jc w:val="right"/>
              <w:ind w:right="211"/>
              <w:spacing w:after="0"/>
              <w:rPr>
                <w:sz w:val="20"/>
                <w:szCs w:val="20"/>
                <w:color w:val="auto"/>
              </w:rPr>
            </w:pPr>
            <w:r>
              <w:rPr>
                <w:rFonts w:ascii="Arial" w:cs="Arial" w:eastAsia="Arial" w:hAnsi="Arial"/>
                <w:sz w:val="14"/>
                <w:szCs w:val="14"/>
                <w:color w:val="auto"/>
              </w:rPr>
              <w:t>(22)</w:t>
            </w:r>
          </w:p>
        </w:tc>
        <w:tc>
          <w:tcPr>
            <w:tcW w:w="2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700" w:type="dxa"/>
            <w:vAlign w:val="bottom"/>
            <w:tcBorders>
              <w:bottom w:val="single" w:sz="8" w:color="auto"/>
            </w:tcBorders>
            <w:shd w:val="clear" w:color="auto" w:fill="CCEEFF"/>
          </w:tcPr>
          <w:p>
            <w:pPr>
              <w:jc w:val="right"/>
              <w:ind w:right="11"/>
              <w:spacing w:after="0"/>
              <w:rPr>
                <w:sz w:val="20"/>
                <w:szCs w:val="20"/>
                <w:color w:val="auto"/>
              </w:rPr>
            </w:pPr>
            <w:r>
              <w:rPr>
                <w:rFonts w:ascii="Arial" w:cs="Arial" w:eastAsia="Arial" w:hAnsi="Arial"/>
                <w:sz w:val="14"/>
                <w:szCs w:val="14"/>
                <w:color w:val="auto"/>
              </w:rPr>
              <w:t>18</w:t>
            </w:r>
          </w:p>
        </w:tc>
        <w:tc>
          <w:tcPr>
            <w:tcW w:w="80" w:type="dxa"/>
            <w:vAlign w:val="bottom"/>
            <w:shd w:val="clear" w:color="auto" w:fill="CCEEFF"/>
          </w:tcPr>
          <w:p>
            <w:pPr>
              <w:spacing w:after="0"/>
              <w:rPr>
                <w:sz w:val="16"/>
                <w:szCs w:val="16"/>
                <w:color w:val="auto"/>
              </w:rPr>
            </w:pPr>
          </w:p>
        </w:tc>
        <w:tc>
          <w:tcPr>
            <w:tcW w:w="226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24"/>
        </w:trPr>
        <w:tc>
          <w:tcPr>
            <w:tcW w:w="2900" w:type="dxa"/>
            <w:vAlign w:val="bottom"/>
          </w:tcPr>
          <w:p>
            <w:pPr>
              <w:ind w:left="480"/>
              <w:spacing w:after="0" w:line="124" w:lineRule="exact"/>
              <w:rPr>
                <w:sz w:val="20"/>
                <w:szCs w:val="20"/>
                <w:color w:val="auto"/>
              </w:rPr>
            </w:pPr>
            <w:r>
              <w:rPr>
                <w:rFonts w:ascii="Arial" w:cs="Arial" w:eastAsia="Arial" w:hAnsi="Arial"/>
                <w:sz w:val="14"/>
                <w:szCs w:val="14"/>
                <w:color w:val="auto"/>
              </w:rPr>
              <w:t>Total subscription and maintenance</w:t>
            </w:r>
          </w:p>
        </w:tc>
        <w:tc>
          <w:tcPr>
            <w:tcW w:w="520" w:type="dxa"/>
            <w:vAlign w:val="bottom"/>
          </w:tcPr>
          <w:p>
            <w:pPr>
              <w:spacing w:after="0"/>
              <w:rPr>
                <w:sz w:val="10"/>
                <w:szCs w:val="10"/>
                <w:color w:val="auto"/>
              </w:rPr>
            </w:pPr>
          </w:p>
        </w:tc>
        <w:tc>
          <w:tcPr>
            <w:tcW w:w="680" w:type="dxa"/>
            <w:vAlign w:val="bottom"/>
            <w:vMerge w:val="restart"/>
          </w:tcPr>
          <w:p>
            <w:pPr>
              <w:jc w:val="right"/>
              <w:spacing w:after="0"/>
              <w:rPr>
                <w:sz w:val="20"/>
                <w:szCs w:val="20"/>
                <w:color w:val="auto"/>
              </w:rPr>
            </w:pPr>
            <w:r>
              <w:rPr>
                <w:rFonts w:ascii="Arial" w:cs="Arial" w:eastAsia="Arial" w:hAnsi="Arial"/>
                <w:sz w:val="14"/>
                <w:szCs w:val="14"/>
                <w:color w:val="auto"/>
              </w:rPr>
              <w:t>1,207</w:t>
            </w:r>
          </w:p>
        </w:tc>
        <w:tc>
          <w:tcPr>
            <w:tcW w:w="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20" w:type="dxa"/>
            <w:vAlign w:val="bottom"/>
            <w:vMerge w:val="restart"/>
          </w:tcPr>
          <w:p>
            <w:pPr>
              <w:jc w:val="right"/>
              <w:spacing w:after="0"/>
              <w:rPr>
                <w:sz w:val="20"/>
                <w:szCs w:val="20"/>
                <w:color w:val="auto"/>
              </w:rPr>
            </w:pPr>
            <w:r>
              <w:rPr>
                <w:rFonts w:ascii="Arial" w:cs="Arial" w:eastAsia="Arial" w:hAnsi="Arial"/>
                <w:sz w:val="14"/>
                <w:szCs w:val="14"/>
                <w:color w:val="auto"/>
              </w:rPr>
              <w:t>100</w:t>
            </w:r>
          </w:p>
        </w:tc>
        <w:tc>
          <w:tcPr>
            <w:tcW w:w="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620" w:type="dxa"/>
            <w:vAlign w:val="bottom"/>
            <w:vMerge w:val="restart"/>
          </w:tcPr>
          <w:p>
            <w:pPr>
              <w:jc w:val="right"/>
              <w:ind w:right="271"/>
              <w:spacing w:after="0"/>
              <w:rPr>
                <w:sz w:val="20"/>
                <w:szCs w:val="20"/>
                <w:color w:val="auto"/>
              </w:rPr>
            </w:pPr>
            <w:r>
              <w:rPr>
                <w:rFonts w:ascii="Arial" w:cs="Arial" w:eastAsia="Arial" w:hAnsi="Arial"/>
                <w:sz w:val="14"/>
                <w:szCs w:val="14"/>
                <w:color w:val="auto"/>
              </w:rPr>
              <w:t>9</w:t>
            </w:r>
          </w:p>
        </w:tc>
        <w:tc>
          <w:tcPr>
            <w:tcW w:w="200" w:type="dxa"/>
            <w:vAlign w:val="bottom"/>
            <w:vMerge w:val="restart"/>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700" w:type="dxa"/>
            <w:vAlign w:val="bottom"/>
            <w:vMerge w:val="restart"/>
          </w:tcPr>
          <w:p>
            <w:pPr>
              <w:jc w:val="right"/>
              <w:spacing w:after="0"/>
              <w:rPr>
                <w:sz w:val="20"/>
                <w:szCs w:val="20"/>
                <w:color w:val="auto"/>
              </w:rPr>
            </w:pPr>
            <w:r>
              <w:rPr>
                <w:rFonts w:ascii="Arial" w:cs="Arial" w:eastAsia="Arial" w:hAnsi="Arial"/>
                <w:sz w:val="14"/>
                <w:szCs w:val="14"/>
                <w:color w:val="auto"/>
              </w:rPr>
              <w:t>1,107</w:t>
            </w:r>
          </w:p>
        </w:tc>
        <w:tc>
          <w:tcPr>
            <w:tcW w:w="80" w:type="dxa"/>
            <w:vAlign w:val="bottom"/>
          </w:tcPr>
          <w:p>
            <w:pPr>
              <w:spacing w:after="0"/>
              <w:rPr>
                <w:sz w:val="10"/>
                <w:szCs w:val="10"/>
                <w:color w:val="auto"/>
              </w:rPr>
            </w:pPr>
          </w:p>
        </w:tc>
        <w:tc>
          <w:tcPr>
            <w:tcW w:w="22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82"/>
        </w:trPr>
        <w:tc>
          <w:tcPr>
            <w:tcW w:w="2900" w:type="dxa"/>
            <w:vAlign w:val="bottom"/>
          </w:tcPr>
          <w:p>
            <w:pPr>
              <w:ind w:left="420"/>
              <w:spacing w:after="0"/>
              <w:rPr>
                <w:sz w:val="20"/>
                <w:szCs w:val="20"/>
                <w:color w:val="auto"/>
              </w:rPr>
            </w:pPr>
            <w:r>
              <w:rPr>
                <w:rFonts w:ascii="Arial" w:cs="Arial" w:eastAsia="Arial" w:hAnsi="Arial"/>
                <w:sz w:val="14"/>
                <w:szCs w:val="14"/>
                <w:color w:val="auto"/>
              </w:rPr>
              <w:t>revenue</w:t>
            </w:r>
          </w:p>
        </w:tc>
        <w:tc>
          <w:tcPr>
            <w:tcW w:w="520" w:type="dxa"/>
            <w:vAlign w:val="bottom"/>
          </w:tcPr>
          <w:p>
            <w:pPr>
              <w:spacing w:after="0"/>
              <w:rPr>
                <w:sz w:val="15"/>
                <w:szCs w:val="15"/>
                <w:color w:val="auto"/>
              </w:rPr>
            </w:pPr>
          </w:p>
        </w:tc>
        <w:tc>
          <w:tcPr>
            <w:tcW w:w="680" w:type="dxa"/>
            <w:vAlign w:val="bottom"/>
            <w:vMerge w:val="continue"/>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620" w:type="dxa"/>
            <w:vAlign w:val="bottom"/>
            <w:vMerge w:val="continue"/>
          </w:tcPr>
          <w:p>
            <w:pPr>
              <w:spacing w:after="0"/>
              <w:rPr>
                <w:sz w:val="15"/>
                <w:szCs w:val="15"/>
                <w:color w:val="auto"/>
              </w:rPr>
            </w:pPr>
          </w:p>
        </w:tc>
        <w:tc>
          <w:tcPr>
            <w:tcW w:w="8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620" w:type="dxa"/>
            <w:vAlign w:val="bottom"/>
            <w:vMerge w:val="continue"/>
          </w:tcPr>
          <w:p>
            <w:pPr>
              <w:spacing w:after="0"/>
              <w:rPr>
                <w:sz w:val="15"/>
                <w:szCs w:val="15"/>
                <w:color w:val="auto"/>
              </w:rPr>
            </w:pPr>
          </w:p>
        </w:tc>
        <w:tc>
          <w:tcPr>
            <w:tcW w:w="200" w:type="dxa"/>
            <w:vAlign w:val="bottom"/>
            <w:vMerge w:val="continue"/>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700" w:type="dxa"/>
            <w:vAlign w:val="bottom"/>
            <w:vMerge w:val="continue"/>
          </w:tcPr>
          <w:p>
            <w:pPr>
              <w:spacing w:after="0"/>
              <w:rPr>
                <w:sz w:val="15"/>
                <w:szCs w:val="15"/>
                <w:color w:val="auto"/>
              </w:rPr>
            </w:pPr>
          </w:p>
        </w:tc>
        <w:tc>
          <w:tcPr>
            <w:tcW w:w="80" w:type="dxa"/>
            <w:vAlign w:val="bottom"/>
          </w:tcPr>
          <w:p>
            <w:pPr>
              <w:spacing w:after="0"/>
              <w:rPr>
                <w:sz w:val="15"/>
                <w:szCs w:val="15"/>
                <w:color w:val="auto"/>
              </w:rPr>
            </w:pPr>
          </w:p>
        </w:tc>
        <w:tc>
          <w:tcPr>
            <w:tcW w:w="22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87"/>
        </w:trPr>
        <w:tc>
          <w:tcPr>
            <w:tcW w:w="2900" w:type="dxa"/>
            <w:vAlign w:val="bottom"/>
            <w:shd w:val="clear" w:color="auto" w:fill="CCEEFF"/>
          </w:tcPr>
          <w:p>
            <w:pPr>
              <w:ind w:left="640"/>
              <w:spacing w:after="0"/>
              <w:rPr>
                <w:sz w:val="20"/>
                <w:szCs w:val="20"/>
                <w:color w:val="auto"/>
              </w:rPr>
            </w:pPr>
            <w:r>
              <w:rPr>
                <w:rFonts w:ascii="Arial" w:cs="Arial" w:eastAsia="Arial" w:hAnsi="Arial"/>
                <w:sz w:val="14"/>
                <w:szCs w:val="14"/>
                <w:color w:val="auto"/>
              </w:rPr>
              <w:t>Other</w:t>
            </w:r>
          </w:p>
        </w:tc>
        <w:tc>
          <w:tcPr>
            <w:tcW w:w="520" w:type="dxa"/>
            <w:vAlign w:val="bottom"/>
            <w:tcBorders>
              <w:bottom w:val="single" w:sz="8" w:color="auto"/>
            </w:tcBorders>
            <w:shd w:val="clear" w:color="auto" w:fill="CCEEFF"/>
          </w:tcPr>
          <w:p>
            <w:pPr>
              <w:spacing w:after="0"/>
              <w:rPr>
                <w:sz w:val="16"/>
                <w:szCs w:val="16"/>
                <w:color w:val="auto"/>
              </w:rPr>
            </w:pPr>
          </w:p>
        </w:tc>
        <w:tc>
          <w:tcPr>
            <w:tcW w:w="6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62</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6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w:t>
            </w:r>
          </w:p>
        </w:tc>
        <w:tc>
          <w:tcPr>
            <w:tcW w:w="80" w:type="dxa"/>
            <w:vAlign w:val="bottom"/>
            <w:shd w:val="clear" w:color="auto" w:fill="CCEEFF"/>
          </w:tcPr>
          <w:p>
            <w:pPr>
              <w:spacing w:after="0"/>
              <w:rPr>
                <w:sz w:val="16"/>
                <w:szCs w:val="16"/>
                <w:color w:val="auto"/>
              </w:rPr>
            </w:pPr>
          </w:p>
        </w:tc>
        <w:tc>
          <w:tcPr>
            <w:tcW w:w="440" w:type="dxa"/>
            <w:vAlign w:val="bottom"/>
            <w:shd w:val="clear" w:color="auto" w:fill="CCEEFF"/>
          </w:tcPr>
          <w:p>
            <w:pPr>
              <w:spacing w:after="0"/>
              <w:rPr>
                <w:sz w:val="16"/>
                <w:szCs w:val="16"/>
                <w:color w:val="auto"/>
              </w:rPr>
            </w:pPr>
          </w:p>
        </w:tc>
        <w:tc>
          <w:tcPr>
            <w:tcW w:w="620" w:type="dxa"/>
            <w:vAlign w:val="bottom"/>
            <w:shd w:val="clear" w:color="auto" w:fill="CCEEFF"/>
          </w:tcPr>
          <w:p>
            <w:pPr>
              <w:jc w:val="right"/>
              <w:ind w:right="231"/>
              <w:spacing w:after="0"/>
              <w:rPr>
                <w:sz w:val="20"/>
                <w:szCs w:val="20"/>
                <w:color w:val="auto"/>
              </w:rPr>
            </w:pPr>
            <w:r>
              <w:rPr>
                <w:rFonts w:ascii="Arial" w:cs="Arial" w:eastAsia="Arial" w:hAnsi="Arial"/>
                <w:sz w:val="14"/>
                <w:szCs w:val="14"/>
                <w:color w:val="auto"/>
              </w:rPr>
              <w:t>(2)</w:t>
            </w:r>
          </w:p>
        </w:tc>
        <w:tc>
          <w:tcPr>
            <w:tcW w:w="2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520" w:type="dxa"/>
            <w:vAlign w:val="bottom"/>
            <w:tcBorders>
              <w:bottom w:val="single" w:sz="8" w:color="auto"/>
            </w:tcBorders>
            <w:shd w:val="clear" w:color="auto" w:fill="CCEEFF"/>
          </w:tcPr>
          <w:p>
            <w:pPr>
              <w:spacing w:after="0"/>
              <w:rPr>
                <w:sz w:val="16"/>
                <w:szCs w:val="16"/>
                <w:color w:val="auto"/>
              </w:rPr>
            </w:pPr>
          </w:p>
        </w:tc>
        <w:tc>
          <w:tcPr>
            <w:tcW w:w="700" w:type="dxa"/>
            <w:vAlign w:val="bottom"/>
            <w:tcBorders>
              <w:bottom w:val="single" w:sz="8" w:color="auto"/>
            </w:tcBorders>
            <w:shd w:val="clear" w:color="auto" w:fill="CCEEFF"/>
          </w:tcPr>
          <w:p>
            <w:pPr>
              <w:jc w:val="right"/>
              <w:ind w:right="11"/>
              <w:spacing w:after="0"/>
              <w:rPr>
                <w:sz w:val="20"/>
                <w:szCs w:val="20"/>
                <w:color w:val="auto"/>
              </w:rPr>
            </w:pPr>
            <w:r>
              <w:rPr>
                <w:rFonts w:ascii="Arial" w:cs="Arial" w:eastAsia="Arial" w:hAnsi="Arial"/>
                <w:sz w:val="14"/>
                <w:szCs w:val="14"/>
                <w:color w:val="auto"/>
              </w:rPr>
              <w:t>63</w:t>
            </w:r>
          </w:p>
        </w:tc>
        <w:tc>
          <w:tcPr>
            <w:tcW w:w="80" w:type="dxa"/>
            <w:vAlign w:val="bottom"/>
            <w:shd w:val="clear" w:color="auto" w:fill="CCEEFF"/>
          </w:tcPr>
          <w:p>
            <w:pPr>
              <w:spacing w:after="0"/>
              <w:rPr>
                <w:sz w:val="16"/>
                <w:szCs w:val="16"/>
                <w:color w:val="auto"/>
              </w:rPr>
            </w:pPr>
          </w:p>
        </w:tc>
        <w:tc>
          <w:tcPr>
            <w:tcW w:w="226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2900" w:type="dxa"/>
            <w:vAlign w:val="bottom"/>
          </w:tcPr>
          <w:p>
            <w:pPr>
              <w:spacing w:after="0"/>
              <w:rPr>
                <w:sz w:val="15"/>
                <w:szCs w:val="15"/>
                <w:color w:val="auto"/>
              </w:rPr>
            </w:pPr>
          </w:p>
        </w:tc>
        <w:tc>
          <w:tcPr>
            <w:tcW w:w="520" w:type="dxa"/>
            <w:vAlign w:val="bottom"/>
          </w:tcPr>
          <w:p>
            <w:pPr>
              <w:ind w:left="360"/>
              <w:spacing w:after="0"/>
              <w:rPr>
                <w:sz w:val="20"/>
                <w:szCs w:val="20"/>
                <w:color w:val="auto"/>
              </w:rPr>
            </w:pPr>
            <w:r>
              <w:rPr>
                <w:rFonts w:ascii="Arial" w:cs="Arial" w:eastAsia="Arial" w:hAnsi="Arial"/>
                <w:sz w:val="14"/>
                <w:szCs w:val="14"/>
                <w:color w:val="auto"/>
              </w:rPr>
              <w:t>$</w:t>
            </w:r>
          </w:p>
        </w:tc>
        <w:tc>
          <w:tcPr>
            <w:tcW w:w="680" w:type="dxa"/>
            <w:vAlign w:val="bottom"/>
          </w:tcPr>
          <w:p>
            <w:pPr>
              <w:jc w:val="right"/>
              <w:spacing w:after="0"/>
              <w:rPr>
                <w:sz w:val="20"/>
                <w:szCs w:val="20"/>
                <w:color w:val="auto"/>
              </w:rPr>
            </w:pPr>
            <w:r>
              <w:rPr>
                <w:rFonts w:ascii="Arial" w:cs="Arial" w:eastAsia="Arial" w:hAnsi="Arial"/>
                <w:sz w:val="14"/>
                <w:szCs w:val="14"/>
                <w:color w:val="auto"/>
              </w:rPr>
              <w:t>1,269</w:t>
            </w:r>
          </w:p>
        </w:tc>
        <w:tc>
          <w:tcPr>
            <w:tcW w:w="600" w:type="dxa"/>
            <w:vAlign w:val="bottom"/>
            <w:gridSpan w:val="2"/>
          </w:tcPr>
          <w:p>
            <w:pPr>
              <w:jc w:val="right"/>
              <w:ind w:right="60"/>
              <w:spacing w:after="0"/>
              <w:rPr>
                <w:sz w:val="20"/>
                <w:szCs w:val="20"/>
                <w:color w:val="auto"/>
              </w:rPr>
            </w:pPr>
            <w:r>
              <w:rPr>
                <w:rFonts w:ascii="Arial" w:cs="Arial" w:eastAsia="Arial" w:hAnsi="Arial"/>
                <w:sz w:val="14"/>
                <w:szCs w:val="14"/>
                <w:color w:val="auto"/>
              </w:rPr>
              <w:t>$</w:t>
            </w:r>
          </w:p>
        </w:tc>
        <w:tc>
          <w:tcPr>
            <w:tcW w:w="620" w:type="dxa"/>
            <w:vAlign w:val="bottom"/>
          </w:tcPr>
          <w:p>
            <w:pPr>
              <w:jc w:val="right"/>
              <w:ind w:right="12"/>
              <w:spacing w:after="0"/>
              <w:rPr>
                <w:sz w:val="20"/>
                <w:szCs w:val="20"/>
                <w:color w:val="auto"/>
              </w:rPr>
            </w:pPr>
            <w:r>
              <w:rPr>
                <w:rFonts w:ascii="Arial" w:cs="Arial" w:eastAsia="Arial" w:hAnsi="Arial"/>
                <w:sz w:val="14"/>
                <w:szCs w:val="14"/>
                <w:color w:val="auto"/>
              </w:rPr>
              <w:t>99</w:t>
            </w:r>
          </w:p>
        </w:tc>
        <w:tc>
          <w:tcPr>
            <w:tcW w:w="8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620" w:type="dxa"/>
            <w:vAlign w:val="bottom"/>
          </w:tcPr>
          <w:p>
            <w:pPr>
              <w:jc w:val="right"/>
              <w:ind w:right="271"/>
              <w:spacing w:after="0"/>
              <w:rPr>
                <w:sz w:val="20"/>
                <w:szCs w:val="20"/>
                <w:color w:val="auto"/>
              </w:rPr>
            </w:pPr>
            <w:r>
              <w:rPr>
                <w:rFonts w:ascii="Arial" w:cs="Arial" w:eastAsia="Arial" w:hAnsi="Arial"/>
                <w:sz w:val="14"/>
                <w:szCs w:val="14"/>
                <w:color w:val="auto"/>
              </w:rPr>
              <w:t>8</w:t>
            </w:r>
          </w:p>
        </w:tc>
        <w:tc>
          <w:tcPr>
            <w:tcW w:w="200" w:type="dxa"/>
            <w:vAlign w:val="bottom"/>
          </w:tcPr>
          <w:p>
            <w:pPr>
              <w:jc w:val="right"/>
              <w:spacing w:after="0"/>
              <w:rPr>
                <w:sz w:val="20"/>
                <w:szCs w:val="20"/>
                <w:color w:val="auto"/>
              </w:rPr>
            </w:pPr>
            <w:r>
              <w:rPr>
                <w:rFonts w:ascii="Arial" w:cs="Arial" w:eastAsia="Arial" w:hAnsi="Arial"/>
                <w:sz w:val="14"/>
                <w:szCs w:val="14"/>
                <w:color w:val="auto"/>
              </w:rPr>
              <w:t>%</w:t>
            </w:r>
          </w:p>
        </w:tc>
        <w:tc>
          <w:tcPr>
            <w:tcW w:w="600" w:type="dxa"/>
            <w:vAlign w:val="bottom"/>
            <w:gridSpan w:val="2"/>
          </w:tcPr>
          <w:p>
            <w:pPr>
              <w:ind w:left="440"/>
              <w:spacing w:after="0"/>
              <w:rPr>
                <w:sz w:val="20"/>
                <w:szCs w:val="20"/>
                <w:color w:val="auto"/>
              </w:rPr>
            </w:pPr>
            <w:r>
              <w:rPr>
                <w:rFonts w:ascii="Arial" w:cs="Arial" w:eastAsia="Arial" w:hAnsi="Arial"/>
                <w:sz w:val="14"/>
                <w:szCs w:val="14"/>
                <w:color w:val="auto"/>
              </w:rPr>
              <w:t>$</w:t>
            </w:r>
          </w:p>
        </w:tc>
        <w:tc>
          <w:tcPr>
            <w:tcW w:w="700" w:type="dxa"/>
            <w:vAlign w:val="bottom"/>
          </w:tcPr>
          <w:p>
            <w:pPr>
              <w:jc w:val="right"/>
              <w:spacing w:after="0"/>
              <w:rPr>
                <w:sz w:val="20"/>
                <w:szCs w:val="20"/>
                <w:color w:val="auto"/>
              </w:rPr>
            </w:pPr>
            <w:r>
              <w:rPr>
                <w:rFonts w:ascii="Arial" w:cs="Arial" w:eastAsia="Arial" w:hAnsi="Arial"/>
                <w:sz w:val="14"/>
                <w:szCs w:val="14"/>
                <w:color w:val="auto"/>
              </w:rPr>
              <w:t>1,170</w:t>
            </w:r>
          </w:p>
        </w:tc>
        <w:tc>
          <w:tcPr>
            <w:tcW w:w="80" w:type="dxa"/>
            <w:vAlign w:val="bottom"/>
          </w:tcPr>
          <w:p>
            <w:pPr>
              <w:spacing w:after="0"/>
              <w:rPr>
                <w:sz w:val="15"/>
                <w:szCs w:val="15"/>
                <w:color w:val="auto"/>
              </w:rPr>
            </w:pPr>
          </w:p>
        </w:tc>
        <w:tc>
          <w:tcPr>
            <w:tcW w:w="22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290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ind w:right="80"/>
        <w:spacing w:after="0"/>
        <w:rPr>
          <w:sz w:val="20"/>
          <w:szCs w:val="20"/>
          <w:color w:val="auto"/>
        </w:rPr>
      </w:pPr>
      <w:r>
        <w:rPr>
          <w:rFonts w:ascii="Arial" w:cs="Arial" w:eastAsia="Arial" w:hAnsi="Arial"/>
          <w:sz w:val="15"/>
          <w:szCs w:val="15"/>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60"/>
          </w:cols>
          <w:pgMar w:left="660" w:top="1222" w:right="580" w:bottom="1440" w:gutter="0" w:footer="0" w:header="0"/>
        </w:sectPr>
      </w:pPr>
    </w:p>
    <w:bookmarkStart w:id="36" w:name="page37"/>
    <w:bookmarkEnd w:id="36"/>
    <w:p>
      <w:pPr>
        <w:ind w:left="220"/>
        <w:spacing w:after="0"/>
        <w:rPr>
          <w:sz w:val="20"/>
          <w:szCs w:val="20"/>
          <w:color w:val="auto"/>
        </w:rPr>
      </w:pPr>
      <w:r>
        <w:rPr>
          <w:rFonts w:ascii="Arial" w:cs="Arial" w:eastAsia="Arial" w:hAnsi="Arial"/>
          <w:sz w:val="15"/>
          <w:szCs w:val="15"/>
          <w:i w:val="1"/>
          <w:iCs w:val="1"/>
          <w:color w:val="auto"/>
        </w:rPr>
        <w:t>Net Revenue by Product Family</w:t>
      </w:r>
    </w:p>
    <w:p>
      <w:pPr>
        <w:spacing w:after="0" w:line="232" w:lineRule="exact"/>
        <w:rPr>
          <w:sz w:val="20"/>
          <w:szCs w:val="20"/>
          <w:color w:val="auto"/>
        </w:rPr>
      </w:pPr>
    </w:p>
    <w:p>
      <w:pPr>
        <w:ind w:right="420" w:firstLine="351"/>
        <w:spacing w:after="0" w:line="271" w:lineRule="auto"/>
        <w:rPr>
          <w:sz w:val="20"/>
          <w:szCs w:val="20"/>
          <w:color w:val="auto"/>
        </w:rPr>
      </w:pPr>
      <w:r>
        <w:rPr>
          <w:rFonts w:ascii="Arial" w:cs="Arial" w:eastAsia="Arial" w:hAnsi="Arial"/>
          <w:sz w:val="15"/>
          <w:szCs w:val="15"/>
          <w:color w:val="auto"/>
        </w:rPr>
        <w:t>Our product offerings are focused in four primary product families: Architecture, Engineering and Construction (“AEC”), AutoCAD and AutoCAD LT, Manufacturing (“MFG”), and Media and Entertainment (“M&amp;E”).</w:t>
      </w:r>
    </w:p>
    <w:p>
      <w:pPr>
        <w:spacing w:after="0" w:line="113" w:lineRule="exact"/>
        <w:rPr>
          <w:sz w:val="20"/>
          <w:szCs w:val="20"/>
          <w:color w:val="auto"/>
        </w:rPr>
      </w:pPr>
    </w:p>
    <w:tbl>
      <w:tblPr>
        <w:tblLayout w:type="fixed"/>
        <w:tblInd w:w="360" w:type="dxa"/>
        <w:tblCellMar>
          <w:top w:w="0" w:type="dxa"/>
          <w:left w:w="0" w:type="dxa"/>
          <w:bottom w:w="0" w:type="dxa"/>
          <w:right w:w="0" w:type="dxa"/>
        </w:tblCellMar>
      </w:tblPr>
      <w:tr>
        <w:trPr>
          <w:trHeight w:val="149"/>
        </w:trPr>
        <w:tc>
          <w:tcPr>
            <w:tcW w:w="28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80" w:type="dxa"/>
            <w:vAlign w:val="bottom"/>
          </w:tcPr>
          <w:p>
            <w:pPr>
              <w:jc w:val="right"/>
              <w:ind w:right="191"/>
              <w:spacing w:after="0"/>
              <w:rPr>
                <w:sz w:val="20"/>
                <w:szCs w:val="20"/>
                <w:color w:val="auto"/>
              </w:rPr>
            </w:pPr>
            <w:r>
              <w:rPr>
                <w:rFonts w:ascii="Arial" w:cs="Arial" w:eastAsia="Arial" w:hAnsi="Arial"/>
                <w:sz w:val="13"/>
                <w:szCs w:val="13"/>
                <w:b w:val="1"/>
                <w:bCs w:val="1"/>
                <w:color w:val="auto"/>
              </w:rPr>
              <w:t>Three</w:t>
            </w: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660" w:type="dxa"/>
            <w:vAlign w:val="bottom"/>
            <w:gridSpan w:val="4"/>
          </w:tcPr>
          <w:p>
            <w:pPr>
              <w:ind w:left="240"/>
              <w:spacing w:after="0"/>
              <w:rPr>
                <w:sz w:val="20"/>
                <w:szCs w:val="20"/>
                <w:color w:val="auto"/>
              </w:rPr>
            </w:pPr>
            <w:r>
              <w:rPr>
                <w:rFonts w:ascii="Arial" w:cs="Arial" w:eastAsia="Arial" w:hAnsi="Arial"/>
                <w:sz w:val="13"/>
                <w:szCs w:val="13"/>
                <w:b w:val="1"/>
                <w:bCs w:val="1"/>
                <w:color w:val="auto"/>
              </w:rPr>
              <w:t>Change compared to</w:t>
            </w:r>
          </w:p>
        </w:tc>
        <w:tc>
          <w:tcPr>
            <w:tcW w:w="2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80" w:type="dxa"/>
            <w:vAlign w:val="bottom"/>
          </w:tcPr>
          <w:p>
            <w:pPr>
              <w:jc w:val="right"/>
              <w:ind w:right="191"/>
              <w:spacing w:after="0"/>
              <w:rPr>
                <w:sz w:val="20"/>
                <w:szCs w:val="20"/>
                <w:color w:val="auto"/>
              </w:rPr>
            </w:pPr>
            <w:r>
              <w:rPr>
                <w:rFonts w:ascii="Arial" w:cs="Arial" w:eastAsia="Arial" w:hAnsi="Arial"/>
                <w:sz w:val="13"/>
                <w:szCs w:val="13"/>
                <w:b w:val="1"/>
                <w:bCs w:val="1"/>
                <w:color w:val="auto"/>
              </w:rPr>
              <w:t>Three</w:t>
            </w:r>
          </w:p>
        </w:tc>
        <w:tc>
          <w:tcPr>
            <w:tcW w:w="80" w:type="dxa"/>
            <w:vAlign w:val="bottom"/>
          </w:tcPr>
          <w:p>
            <w:pPr>
              <w:spacing w:after="0"/>
              <w:rPr>
                <w:sz w:val="13"/>
                <w:szCs w:val="13"/>
                <w:color w:val="auto"/>
              </w:rPr>
            </w:pPr>
          </w:p>
        </w:tc>
        <w:tc>
          <w:tcPr>
            <w:tcW w:w="2300" w:type="dxa"/>
            <w:vAlign w:val="bottom"/>
          </w:tcPr>
          <w:p>
            <w:pPr>
              <w:spacing w:after="0"/>
              <w:rPr>
                <w:sz w:val="13"/>
                <w:szCs w:val="13"/>
                <w:color w:val="auto"/>
              </w:rPr>
            </w:pPr>
          </w:p>
        </w:tc>
      </w:tr>
      <w:tr>
        <w:trPr>
          <w:trHeight w:val="176"/>
        </w:trPr>
        <w:tc>
          <w:tcPr>
            <w:tcW w:w="2880" w:type="dxa"/>
            <w:vAlign w:val="bottom"/>
          </w:tcPr>
          <w:p>
            <w:pPr>
              <w:spacing w:after="0"/>
              <w:rPr>
                <w:sz w:val="15"/>
                <w:szCs w:val="15"/>
                <w:color w:val="auto"/>
              </w:rPr>
            </w:pPr>
          </w:p>
        </w:tc>
        <w:tc>
          <w:tcPr>
            <w:tcW w:w="1220" w:type="dxa"/>
            <w:vAlign w:val="bottom"/>
            <w:tcBorders>
              <w:bottom w:val="single" w:sz="8" w:color="auto"/>
            </w:tcBorders>
            <w:gridSpan w:val="2"/>
          </w:tcPr>
          <w:p>
            <w:pPr>
              <w:jc w:val="right"/>
              <w:ind w:right="91"/>
              <w:spacing w:after="0"/>
              <w:rPr>
                <w:sz w:val="20"/>
                <w:szCs w:val="20"/>
                <w:color w:val="auto"/>
              </w:rPr>
            </w:pPr>
            <w:r>
              <w:rPr>
                <w:rFonts w:ascii="Arial" w:cs="Arial" w:eastAsia="Arial" w:hAnsi="Arial"/>
                <w:sz w:val="13"/>
                <w:szCs w:val="13"/>
                <w:b w:val="1"/>
                <w:bCs w:val="1"/>
                <w:color w:val="auto"/>
              </w:rPr>
              <w:t>Months Ended</w:t>
            </w:r>
          </w:p>
        </w:tc>
        <w:tc>
          <w:tcPr>
            <w:tcW w:w="80" w:type="dxa"/>
            <w:vAlign w:val="bottom"/>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200" w:type="dxa"/>
            <w:vAlign w:val="bottom"/>
            <w:tcBorders>
              <w:bottom w:val="single" w:sz="8" w:color="auto"/>
            </w:tcBorders>
            <w:gridSpan w:val="3"/>
          </w:tcPr>
          <w:p>
            <w:pPr>
              <w:ind w:left="220"/>
              <w:spacing w:after="0"/>
              <w:rPr>
                <w:sz w:val="20"/>
                <w:szCs w:val="20"/>
                <w:color w:val="auto"/>
              </w:rPr>
            </w:pPr>
            <w:r>
              <w:rPr>
                <w:rFonts w:ascii="Arial" w:cs="Arial" w:eastAsia="Arial" w:hAnsi="Arial"/>
                <w:sz w:val="13"/>
                <w:szCs w:val="13"/>
                <w:b w:val="1"/>
                <w:bCs w:val="1"/>
                <w:color w:val="auto"/>
                <w:w w:val="99"/>
              </w:rPr>
              <w:t>prior fiscal year</w:t>
            </w:r>
          </w:p>
        </w:tc>
        <w:tc>
          <w:tcPr>
            <w:tcW w:w="460" w:type="dxa"/>
            <w:vAlign w:val="bottom"/>
            <w:tcBorders>
              <w:bottom w:val="single" w:sz="8" w:color="auto"/>
            </w:tcBorders>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1220" w:type="dxa"/>
            <w:vAlign w:val="bottom"/>
            <w:tcBorders>
              <w:bottom w:val="single" w:sz="8" w:color="auto"/>
            </w:tcBorders>
            <w:gridSpan w:val="2"/>
          </w:tcPr>
          <w:p>
            <w:pPr>
              <w:jc w:val="right"/>
              <w:ind w:right="91"/>
              <w:spacing w:after="0"/>
              <w:rPr>
                <w:sz w:val="20"/>
                <w:szCs w:val="20"/>
                <w:color w:val="auto"/>
              </w:rPr>
            </w:pPr>
            <w:r>
              <w:rPr>
                <w:rFonts w:ascii="Arial" w:cs="Arial" w:eastAsia="Arial" w:hAnsi="Arial"/>
                <w:sz w:val="13"/>
                <w:szCs w:val="13"/>
                <w:b w:val="1"/>
                <w:bCs w:val="1"/>
                <w:color w:val="auto"/>
              </w:rPr>
              <w:t>Months Ended</w:t>
            </w:r>
          </w:p>
        </w:tc>
        <w:tc>
          <w:tcPr>
            <w:tcW w:w="80" w:type="dxa"/>
            <w:vAlign w:val="bottom"/>
          </w:tcPr>
          <w:p>
            <w:pPr>
              <w:spacing w:after="0"/>
              <w:rPr>
                <w:sz w:val="15"/>
                <w:szCs w:val="15"/>
                <w:color w:val="auto"/>
              </w:rPr>
            </w:pPr>
          </w:p>
        </w:tc>
        <w:tc>
          <w:tcPr>
            <w:tcW w:w="2300" w:type="dxa"/>
            <w:vAlign w:val="bottom"/>
          </w:tcPr>
          <w:p>
            <w:pPr>
              <w:spacing w:after="0"/>
              <w:rPr>
                <w:sz w:val="15"/>
                <w:szCs w:val="15"/>
                <w:color w:val="auto"/>
              </w:rPr>
            </w:pPr>
          </w:p>
        </w:tc>
      </w:tr>
      <w:tr>
        <w:trPr>
          <w:trHeight w:val="308"/>
        </w:trPr>
        <w:tc>
          <w:tcPr>
            <w:tcW w:w="2880" w:type="dxa"/>
            <w:vAlign w:val="bottom"/>
            <w:tcBorders>
              <w:bottom w:val="single" w:sz="8" w:color="CCEEFF"/>
            </w:tcBorders>
          </w:tcPr>
          <w:p>
            <w:pPr>
              <w:ind w:left="360"/>
              <w:spacing w:after="0"/>
              <w:rPr>
                <w:sz w:val="20"/>
                <w:szCs w:val="20"/>
                <w:color w:val="auto"/>
              </w:rPr>
            </w:pPr>
            <w:r>
              <w:rPr>
                <w:rFonts w:ascii="Arial" w:cs="Arial" w:eastAsia="Arial" w:hAnsi="Arial"/>
                <w:sz w:val="13"/>
                <w:szCs w:val="13"/>
                <w:i w:val="1"/>
                <w:iCs w:val="1"/>
                <w:color w:val="auto"/>
              </w:rPr>
              <w:t>(In millions, except percentages)</w:t>
            </w:r>
          </w:p>
        </w:tc>
        <w:tc>
          <w:tcPr>
            <w:tcW w:w="1220" w:type="dxa"/>
            <w:vAlign w:val="bottom"/>
            <w:tcBorders>
              <w:bottom w:val="single" w:sz="8" w:color="auto"/>
            </w:tcBorders>
            <w:gridSpan w:val="2"/>
          </w:tcPr>
          <w:p>
            <w:pPr>
              <w:ind w:left="380"/>
              <w:spacing w:after="0"/>
              <w:rPr>
                <w:sz w:val="20"/>
                <w:szCs w:val="20"/>
                <w:color w:val="auto"/>
              </w:rPr>
            </w:pPr>
            <w:r>
              <w:rPr>
                <w:rFonts w:ascii="Arial" w:cs="Arial" w:eastAsia="Arial" w:hAnsi="Arial"/>
                <w:sz w:val="13"/>
                <w:szCs w:val="13"/>
                <w:b w:val="1"/>
                <w:bCs w:val="1"/>
                <w:color w:val="auto"/>
                <w:w w:val="97"/>
              </w:rPr>
              <w:t>April 30, 2023</w:t>
            </w:r>
          </w:p>
        </w:tc>
        <w:tc>
          <w:tcPr>
            <w:tcW w:w="80" w:type="dxa"/>
            <w:vAlign w:val="bottom"/>
            <w:tcBorders>
              <w:bottom w:val="single" w:sz="8" w:color="CCEEFF"/>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jc w:val="right"/>
              <w:ind w:right="352"/>
              <w:spacing w:after="0"/>
              <w:rPr>
                <w:sz w:val="20"/>
                <w:szCs w:val="20"/>
                <w:color w:val="auto"/>
              </w:rPr>
            </w:pPr>
            <w:r>
              <w:rPr>
                <w:rFonts w:ascii="Arial" w:cs="Arial" w:eastAsia="Arial" w:hAnsi="Arial"/>
                <w:sz w:val="13"/>
                <w:szCs w:val="13"/>
                <w:b w:val="1"/>
                <w:bCs w:val="1"/>
                <w:color w:val="auto"/>
              </w:rPr>
              <w:t>$</w:t>
            </w:r>
          </w:p>
        </w:tc>
        <w:tc>
          <w:tcPr>
            <w:tcW w:w="80" w:type="dxa"/>
            <w:vAlign w:val="bottom"/>
            <w:tcBorders>
              <w:bottom w:val="single" w:sz="8" w:color="CCEEFF"/>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jc w:val="right"/>
              <w:ind w:right="131"/>
              <w:spacing w:after="0"/>
              <w:rPr>
                <w:sz w:val="20"/>
                <w:szCs w:val="20"/>
                <w:color w:val="auto"/>
              </w:rPr>
            </w:pPr>
            <w:r>
              <w:rPr>
                <w:rFonts w:ascii="Arial" w:cs="Arial" w:eastAsia="Arial" w:hAnsi="Arial"/>
                <w:sz w:val="13"/>
                <w:szCs w:val="13"/>
                <w:b w:val="1"/>
                <w:bCs w:val="1"/>
                <w:color w:val="auto"/>
              </w:rPr>
              <w:t>%</w:t>
            </w:r>
          </w:p>
        </w:tc>
        <w:tc>
          <w:tcPr>
            <w:tcW w:w="260" w:type="dxa"/>
            <w:vAlign w:val="bottom"/>
            <w:tcBorders>
              <w:bottom w:val="single" w:sz="8" w:color="auto"/>
            </w:tcBorders>
          </w:tcPr>
          <w:p>
            <w:pPr>
              <w:spacing w:after="0"/>
              <w:rPr>
                <w:sz w:val="24"/>
                <w:szCs w:val="24"/>
                <w:color w:val="auto"/>
              </w:rPr>
            </w:pPr>
          </w:p>
        </w:tc>
        <w:tc>
          <w:tcPr>
            <w:tcW w:w="80" w:type="dxa"/>
            <w:vAlign w:val="bottom"/>
            <w:tcBorders>
              <w:bottom w:val="single" w:sz="8" w:color="CCEEFF"/>
            </w:tcBorders>
          </w:tcPr>
          <w:p>
            <w:pPr>
              <w:spacing w:after="0"/>
              <w:rPr>
                <w:sz w:val="24"/>
                <w:szCs w:val="24"/>
                <w:color w:val="auto"/>
              </w:rPr>
            </w:pPr>
          </w:p>
        </w:tc>
        <w:tc>
          <w:tcPr>
            <w:tcW w:w="1220" w:type="dxa"/>
            <w:vAlign w:val="bottom"/>
            <w:tcBorders>
              <w:bottom w:val="single" w:sz="8" w:color="auto"/>
            </w:tcBorders>
            <w:gridSpan w:val="2"/>
          </w:tcPr>
          <w:p>
            <w:pPr>
              <w:ind w:left="380"/>
              <w:spacing w:after="0"/>
              <w:rPr>
                <w:sz w:val="20"/>
                <w:szCs w:val="20"/>
                <w:color w:val="auto"/>
              </w:rPr>
            </w:pPr>
            <w:r>
              <w:rPr>
                <w:rFonts w:ascii="Arial" w:cs="Arial" w:eastAsia="Arial" w:hAnsi="Arial"/>
                <w:sz w:val="13"/>
                <w:szCs w:val="13"/>
                <w:b w:val="1"/>
                <w:bCs w:val="1"/>
                <w:color w:val="auto"/>
                <w:w w:val="97"/>
              </w:rPr>
              <w:t>April 30, 2022</w:t>
            </w:r>
          </w:p>
        </w:tc>
        <w:tc>
          <w:tcPr>
            <w:tcW w:w="80" w:type="dxa"/>
            <w:vAlign w:val="bottom"/>
            <w:tcBorders>
              <w:bottom w:val="single" w:sz="8" w:color="CCEEFF"/>
            </w:tcBorders>
          </w:tcPr>
          <w:p>
            <w:pPr>
              <w:spacing w:after="0"/>
              <w:rPr>
                <w:sz w:val="24"/>
                <w:szCs w:val="24"/>
                <w:color w:val="auto"/>
              </w:rPr>
            </w:pPr>
          </w:p>
        </w:tc>
        <w:tc>
          <w:tcPr>
            <w:tcW w:w="2300" w:type="dxa"/>
            <w:vAlign w:val="bottom"/>
            <w:tcBorders>
              <w:bottom w:val="single" w:sz="8" w:color="auto"/>
            </w:tcBorders>
          </w:tcPr>
          <w:p>
            <w:pPr>
              <w:ind w:left="720"/>
              <w:spacing w:after="0"/>
              <w:rPr>
                <w:sz w:val="20"/>
                <w:szCs w:val="20"/>
                <w:color w:val="auto"/>
              </w:rPr>
            </w:pPr>
            <w:r>
              <w:rPr>
                <w:rFonts w:ascii="Arial" w:cs="Arial" w:eastAsia="Arial" w:hAnsi="Arial"/>
                <w:sz w:val="13"/>
                <w:szCs w:val="13"/>
                <w:b w:val="1"/>
                <w:bCs w:val="1"/>
                <w:color w:val="auto"/>
              </w:rPr>
              <w:t>Management comments</w:t>
            </w:r>
          </w:p>
        </w:tc>
      </w:tr>
      <w:tr>
        <w:trPr>
          <w:trHeight w:val="167"/>
        </w:trPr>
        <w:tc>
          <w:tcPr>
            <w:tcW w:w="2880" w:type="dxa"/>
            <w:vAlign w:val="bottom"/>
            <w:shd w:val="clear" w:color="auto" w:fill="CCEEFF"/>
          </w:tcPr>
          <w:p>
            <w:pPr>
              <w:spacing w:after="0"/>
              <w:rPr>
                <w:sz w:val="20"/>
                <w:szCs w:val="20"/>
                <w:color w:val="auto"/>
              </w:rPr>
            </w:pPr>
            <w:r>
              <w:rPr>
                <w:rFonts w:ascii="Arial" w:cs="Arial" w:eastAsia="Arial" w:hAnsi="Arial"/>
                <w:sz w:val="14"/>
                <w:szCs w:val="14"/>
                <w:color w:val="auto"/>
              </w:rPr>
              <w:t>Net Revenue by Product Family:</w:t>
            </w:r>
          </w:p>
        </w:tc>
        <w:tc>
          <w:tcPr>
            <w:tcW w:w="540" w:type="dxa"/>
            <w:vAlign w:val="bottom"/>
            <w:shd w:val="clear" w:color="auto" w:fill="CCEEFF"/>
          </w:tcPr>
          <w:p>
            <w:pPr>
              <w:spacing w:after="0"/>
              <w:rPr>
                <w:sz w:val="14"/>
                <w:szCs w:val="14"/>
                <w:color w:val="auto"/>
              </w:rPr>
            </w:pPr>
          </w:p>
        </w:tc>
        <w:tc>
          <w:tcPr>
            <w:tcW w:w="68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20" w:type="dxa"/>
            <w:vAlign w:val="bottom"/>
            <w:shd w:val="clear" w:color="auto" w:fill="CCEEFF"/>
          </w:tcPr>
          <w:p>
            <w:pPr>
              <w:spacing w:after="0"/>
              <w:rPr>
                <w:sz w:val="14"/>
                <w:szCs w:val="14"/>
                <w:color w:val="auto"/>
              </w:rPr>
            </w:pPr>
          </w:p>
        </w:tc>
        <w:tc>
          <w:tcPr>
            <w:tcW w:w="58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shd w:val="clear" w:color="auto" w:fill="CCEEFF"/>
          </w:tcPr>
          <w:p>
            <w:pPr>
              <w:spacing w:after="0"/>
              <w:rPr>
                <w:sz w:val="14"/>
                <w:szCs w:val="14"/>
                <w:color w:val="auto"/>
              </w:rPr>
            </w:pPr>
          </w:p>
        </w:tc>
        <w:tc>
          <w:tcPr>
            <w:tcW w:w="46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540" w:type="dxa"/>
            <w:vAlign w:val="bottom"/>
            <w:shd w:val="clear" w:color="auto" w:fill="CCEEFF"/>
          </w:tcPr>
          <w:p>
            <w:pPr>
              <w:spacing w:after="0"/>
              <w:rPr>
                <w:sz w:val="14"/>
                <w:szCs w:val="14"/>
                <w:color w:val="auto"/>
              </w:rPr>
            </w:pPr>
          </w:p>
        </w:tc>
        <w:tc>
          <w:tcPr>
            <w:tcW w:w="68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300" w:type="dxa"/>
            <w:vAlign w:val="bottom"/>
            <w:shd w:val="clear" w:color="auto" w:fill="CCEEFF"/>
          </w:tcPr>
          <w:p>
            <w:pPr>
              <w:spacing w:after="0"/>
              <w:rPr>
                <w:sz w:val="14"/>
                <w:szCs w:val="14"/>
                <w:color w:val="auto"/>
              </w:rPr>
            </w:pPr>
          </w:p>
        </w:tc>
      </w:tr>
      <w:tr>
        <w:trPr>
          <w:trHeight w:val="144"/>
        </w:trPr>
        <w:tc>
          <w:tcPr>
            <w:tcW w:w="2880" w:type="dxa"/>
            <w:vAlign w:val="bottom"/>
          </w:tcPr>
          <w:p>
            <w:pPr>
              <w:ind w:left="280"/>
              <w:spacing w:after="0" w:line="144" w:lineRule="exact"/>
              <w:rPr>
                <w:sz w:val="20"/>
                <w:szCs w:val="20"/>
                <w:color w:val="auto"/>
              </w:rPr>
            </w:pPr>
            <w:r>
              <w:rPr>
                <w:rFonts w:ascii="Arial" w:cs="Arial" w:eastAsia="Arial" w:hAnsi="Arial"/>
                <w:sz w:val="14"/>
                <w:szCs w:val="14"/>
                <w:color w:val="auto"/>
              </w:rPr>
              <w:t>AEC (1)</w:t>
            </w:r>
          </w:p>
        </w:tc>
        <w:tc>
          <w:tcPr>
            <w:tcW w:w="540" w:type="dxa"/>
            <w:vAlign w:val="bottom"/>
          </w:tcPr>
          <w:p>
            <w:pPr>
              <w:ind w:left="380"/>
              <w:spacing w:after="0" w:line="144" w:lineRule="exact"/>
              <w:rPr>
                <w:sz w:val="20"/>
                <w:szCs w:val="20"/>
                <w:color w:val="auto"/>
              </w:rPr>
            </w:pPr>
            <w:r>
              <w:rPr>
                <w:rFonts w:ascii="Arial" w:cs="Arial" w:eastAsia="Arial" w:hAnsi="Arial"/>
                <w:sz w:val="14"/>
                <w:szCs w:val="14"/>
                <w:color w:val="auto"/>
              </w:rPr>
              <w:t>$</w:t>
            </w: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582</w:t>
            </w:r>
          </w:p>
        </w:tc>
        <w:tc>
          <w:tcPr>
            <w:tcW w:w="600" w:type="dxa"/>
            <w:vAlign w:val="bottom"/>
            <w:gridSpan w:val="2"/>
          </w:tcPr>
          <w:p>
            <w:pPr>
              <w:jc w:val="right"/>
              <w:ind w:right="80"/>
              <w:spacing w:after="0" w:line="144" w:lineRule="exact"/>
              <w:rPr>
                <w:sz w:val="20"/>
                <w:szCs w:val="20"/>
                <w:color w:val="auto"/>
              </w:rPr>
            </w:pPr>
            <w:r>
              <w:rPr>
                <w:rFonts w:ascii="Arial" w:cs="Arial" w:eastAsia="Arial" w:hAnsi="Arial"/>
                <w:sz w:val="14"/>
                <w:szCs w:val="14"/>
                <w:color w:val="auto"/>
              </w:rPr>
              <w:t>$</w:t>
            </w:r>
          </w:p>
        </w:tc>
        <w:tc>
          <w:tcPr>
            <w:tcW w:w="580" w:type="dxa"/>
            <w:vAlign w:val="bottom"/>
          </w:tcPr>
          <w:p>
            <w:pPr>
              <w:jc w:val="right"/>
              <w:spacing w:after="0" w:line="144" w:lineRule="exact"/>
              <w:rPr>
                <w:sz w:val="20"/>
                <w:szCs w:val="20"/>
                <w:color w:val="auto"/>
              </w:rPr>
            </w:pPr>
            <w:r>
              <w:rPr>
                <w:rFonts w:ascii="Arial" w:cs="Arial" w:eastAsia="Arial" w:hAnsi="Arial"/>
                <w:sz w:val="14"/>
                <w:szCs w:val="14"/>
                <w:color w:val="auto"/>
              </w:rPr>
              <w:t>45</w:t>
            </w: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460" w:type="dxa"/>
            <w:vAlign w:val="bottom"/>
          </w:tcPr>
          <w:p>
            <w:pPr>
              <w:jc w:val="right"/>
              <w:ind w:right="191"/>
              <w:spacing w:after="0" w:line="144" w:lineRule="exact"/>
              <w:rPr>
                <w:sz w:val="20"/>
                <w:szCs w:val="20"/>
                <w:color w:val="auto"/>
              </w:rPr>
            </w:pPr>
            <w:r>
              <w:rPr>
                <w:rFonts w:ascii="Arial" w:cs="Arial" w:eastAsia="Arial" w:hAnsi="Arial"/>
                <w:sz w:val="14"/>
                <w:szCs w:val="14"/>
                <w:color w:val="auto"/>
              </w:rPr>
              <w:t>8</w:t>
            </w:r>
          </w:p>
        </w:tc>
        <w:tc>
          <w:tcPr>
            <w:tcW w:w="26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620" w:type="dxa"/>
            <w:vAlign w:val="bottom"/>
            <w:gridSpan w:val="2"/>
          </w:tcPr>
          <w:p>
            <w:pPr>
              <w:ind w:left="460"/>
              <w:spacing w:after="0" w:line="144" w:lineRule="exact"/>
              <w:rPr>
                <w:sz w:val="20"/>
                <w:szCs w:val="20"/>
                <w:color w:val="auto"/>
              </w:rPr>
            </w:pPr>
            <w:r>
              <w:rPr>
                <w:rFonts w:ascii="Arial" w:cs="Arial" w:eastAsia="Arial" w:hAnsi="Arial"/>
                <w:sz w:val="14"/>
                <w:szCs w:val="14"/>
                <w:color w:val="auto"/>
              </w:rPr>
              <w:t>$</w:t>
            </w: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537</w:t>
            </w:r>
          </w:p>
        </w:tc>
        <w:tc>
          <w:tcPr>
            <w:tcW w:w="80" w:type="dxa"/>
            <w:vAlign w:val="bottom"/>
          </w:tcPr>
          <w:p>
            <w:pPr>
              <w:spacing w:after="0"/>
              <w:rPr>
                <w:sz w:val="12"/>
                <w:szCs w:val="12"/>
                <w:color w:val="auto"/>
              </w:rPr>
            </w:pPr>
          </w:p>
        </w:tc>
        <w:tc>
          <w:tcPr>
            <w:tcW w:w="2300" w:type="dxa"/>
            <w:vAlign w:val="bottom"/>
          </w:tcPr>
          <w:p>
            <w:pPr>
              <w:ind w:left="360"/>
              <w:spacing w:after="0" w:line="144" w:lineRule="exact"/>
              <w:rPr>
                <w:sz w:val="20"/>
                <w:szCs w:val="20"/>
                <w:color w:val="auto"/>
              </w:rPr>
            </w:pPr>
            <w:r>
              <w:rPr>
                <w:rFonts w:ascii="Arial" w:cs="Arial" w:eastAsia="Arial" w:hAnsi="Arial"/>
                <w:sz w:val="14"/>
                <w:szCs w:val="14"/>
                <w:color w:val="auto"/>
                <w:w w:val="97"/>
              </w:rPr>
              <w:t>Increase due to growth in reven</w:t>
            </w:r>
          </w:p>
        </w:tc>
      </w:tr>
      <w:tr>
        <w:trPr>
          <w:trHeight w:val="141"/>
        </w:trPr>
        <w:tc>
          <w:tcPr>
            <w:tcW w:w="28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300" w:type="dxa"/>
            <w:vAlign w:val="bottom"/>
          </w:tcPr>
          <w:p>
            <w:pPr>
              <w:spacing w:after="0" w:line="141" w:lineRule="exact"/>
              <w:rPr>
                <w:sz w:val="20"/>
                <w:szCs w:val="20"/>
                <w:color w:val="auto"/>
              </w:rPr>
            </w:pPr>
            <w:r>
              <w:rPr>
                <w:rFonts w:ascii="Arial" w:cs="Arial" w:eastAsia="Arial" w:hAnsi="Arial"/>
                <w:sz w:val="14"/>
                <w:szCs w:val="14"/>
                <w:color w:val="auto"/>
              </w:rPr>
              <w:t>from AEC Collections, Autodesk Buil</w:t>
            </w:r>
          </w:p>
        </w:tc>
      </w:tr>
      <w:tr>
        <w:trPr>
          <w:trHeight w:val="182"/>
        </w:trPr>
        <w:tc>
          <w:tcPr>
            <w:tcW w:w="28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4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300" w:type="dxa"/>
            <w:vAlign w:val="bottom"/>
          </w:tcPr>
          <w:p>
            <w:pPr>
              <w:spacing w:after="0"/>
              <w:rPr>
                <w:sz w:val="20"/>
                <w:szCs w:val="20"/>
                <w:color w:val="auto"/>
              </w:rPr>
            </w:pPr>
            <w:r>
              <w:rPr>
                <w:rFonts w:ascii="Arial" w:cs="Arial" w:eastAsia="Arial" w:hAnsi="Arial"/>
                <w:sz w:val="14"/>
                <w:szCs w:val="14"/>
                <w:color w:val="auto"/>
              </w:rPr>
              <w:t>and Revit.</w:t>
            </w:r>
          </w:p>
        </w:tc>
      </w:tr>
      <w:tr>
        <w:trPr>
          <w:trHeight w:val="146"/>
        </w:trPr>
        <w:tc>
          <w:tcPr>
            <w:tcW w:w="2880" w:type="dxa"/>
            <w:vAlign w:val="bottom"/>
            <w:shd w:val="clear" w:color="auto" w:fill="CCEEFF"/>
          </w:tcPr>
          <w:p>
            <w:pPr>
              <w:ind w:left="640"/>
              <w:spacing w:after="0" w:line="147" w:lineRule="exact"/>
              <w:rPr>
                <w:sz w:val="20"/>
                <w:szCs w:val="20"/>
                <w:color w:val="auto"/>
              </w:rPr>
            </w:pPr>
            <w:r>
              <w:rPr>
                <w:rFonts w:ascii="Arial" w:cs="Arial" w:eastAsia="Arial" w:hAnsi="Arial"/>
                <w:sz w:val="14"/>
                <w:szCs w:val="14"/>
                <w:color w:val="auto"/>
              </w:rPr>
              <w:t>AutoCAD and AutoCAD LT (1)</w:t>
            </w:r>
          </w:p>
        </w:tc>
        <w:tc>
          <w:tcPr>
            <w:tcW w:w="540" w:type="dxa"/>
            <w:vAlign w:val="bottom"/>
            <w:shd w:val="clear" w:color="auto" w:fill="CCEEFF"/>
          </w:tcPr>
          <w:p>
            <w:pPr>
              <w:spacing w:after="0"/>
              <w:rPr>
                <w:sz w:val="12"/>
                <w:szCs w:val="12"/>
                <w:color w:val="auto"/>
              </w:rPr>
            </w:pPr>
          </w:p>
        </w:tc>
        <w:tc>
          <w:tcPr>
            <w:tcW w:w="6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349</w:t>
            </w:r>
          </w:p>
        </w:tc>
        <w:tc>
          <w:tcPr>
            <w:tcW w:w="80" w:type="dxa"/>
            <w:vAlign w:val="bottom"/>
            <w:shd w:val="clear" w:color="auto" w:fill="CCEEFF"/>
          </w:tcPr>
          <w:p>
            <w:pPr>
              <w:spacing w:after="0"/>
              <w:rPr>
                <w:sz w:val="12"/>
                <w:szCs w:val="12"/>
                <w:color w:val="auto"/>
              </w:rPr>
            </w:pPr>
          </w:p>
        </w:tc>
        <w:tc>
          <w:tcPr>
            <w:tcW w:w="520" w:type="dxa"/>
            <w:vAlign w:val="bottom"/>
            <w:shd w:val="clear" w:color="auto" w:fill="CCEEFF"/>
          </w:tcPr>
          <w:p>
            <w:pPr>
              <w:spacing w:after="0"/>
              <w:rPr>
                <w:sz w:val="12"/>
                <w:szCs w:val="12"/>
                <w:color w:val="auto"/>
              </w:rPr>
            </w:pPr>
          </w:p>
        </w:tc>
        <w:tc>
          <w:tcPr>
            <w:tcW w:w="5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22</w:t>
            </w: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460" w:type="dxa"/>
            <w:vAlign w:val="bottom"/>
            <w:shd w:val="clear" w:color="auto" w:fill="CCEEFF"/>
          </w:tcPr>
          <w:p>
            <w:pPr>
              <w:jc w:val="right"/>
              <w:ind w:right="191"/>
              <w:spacing w:after="0" w:line="147" w:lineRule="exact"/>
              <w:rPr>
                <w:sz w:val="20"/>
                <w:szCs w:val="20"/>
                <w:color w:val="auto"/>
              </w:rPr>
            </w:pPr>
            <w:r>
              <w:rPr>
                <w:rFonts w:ascii="Arial" w:cs="Arial" w:eastAsia="Arial" w:hAnsi="Arial"/>
                <w:sz w:val="14"/>
                <w:szCs w:val="14"/>
                <w:color w:val="auto"/>
              </w:rPr>
              <w:t>7</w:t>
            </w:r>
          </w:p>
        </w:tc>
        <w:tc>
          <w:tcPr>
            <w:tcW w:w="26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6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327</w:t>
            </w:r>
          </w:p>
        </w:tc>
        <w:tc>
          <w:tcPr>
            <w:tcW w:w="80" w:type="dxa"/>
            <w:vAlign w:val="bottom"/>
            <w:shd w:val="clear" w:color="auto" w:fill="CCEEFF"/>
          </w:tcPr>
          <w:p>
            <w:pPr>
              <w:spacing w:after="0"/>
              <w:rPr>
                <w:sz w:val="12"/>
                <w:szCs w:val="12"/>
                <w:color w:val="auto"/>
              </w:rPr>
            </w:pPr>
          </w:p>
        </w:tc>
        <w:tc>
          <w:tcPr>
            <w:tcW w:w="2300" w:type="dxa"/>
            <w:vAlign w:val="bottom"/>
            <w:shd w:val="clear" w:color="auto" w:fill="CCEEFF"/>
          </w:tcPr>
          <w:p>
            <w:pPr>
              <w:ind w:left="360"/>
              <w:spacing w:after="0" w:line="147" w:lineRule="exact"/>
              <w:rPr>
                <w:sz w:val="20"/>
                <w:szCs w:val="20"/>
                <w:color w:val="auto"/>
              </w:rPr>
            </w:pPr>
            <w:r>
              <w:rPr>
                <w:rFonts w:ascii="Arial" w:cs="Arial" w:eastAsia="Arial" w:hAnsi="Arial"/>
                <w:sz w:val="14"/>
                <w:szCs w:val="14"/>
                <w:color w:val="auto"/>
                <w:w w:val="97"/>
              </w:rPr>
              <w:t>Increase due to growth in reven</w:t>
            </w:r>
          </w:p>
        </w:tc>
      </w:tr>
      <w:tr>
        <w:trPr>
          <w:trHeight w:val="184"/>
        </w:trPr>
        <w:tc>
          <w:tcPr>
            <w:tcW w:w="28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5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460" w:type="dxa"/>
            <w:vAlign w:val="bottom"/>
            <w:shd w:val="clear" w:color="auto" w:fill="CCEEFF"/>
          </w:tcPr>
          <w:p>
            <w:pPr>
              <w:spacing w:after="0"/>
              <w:rPr>
                <w:sz w:val="16"/>
                <w:szCs w:val="16"/>
                <w:color w:val="auto"/>
              </w:rPr>
            </w:pPr>
          </w:p>
        </w:tc>
        <w:tc>
          <w:tcPr>
            <w:tcW w:w="2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300" w:type="dxa"/>
            <w:vAlign w:val="bottom"/>
            <w:shd w:val="clear" w:color="auto" w:fill="CCEEFF"/>
          </w:tcPr>
          <w:p>
            <w:pPr>
              <w:spacing w:after="0"/>
              <w:rPr>
                <w:sz w:val="20"/>
                <w:szCs w:val="20"/>
                <w:color w:val="auto"/>
              </w:rPr>
            </w:pPr>
            <w:r>
              <w:rPr>
                <w:rFonts w:ascii="Arial" w:cs="Arial" w:eastAsia="Arial" w:hAnsi="Arial"/>
                <w:sz w:val="14"/>
                <w:szCs w:val="14"/>
                <w:color w:val="auto"/>
                <w:w w:val="98"/>
              </w:rPr>
              <w:t>from both AutoCAD and AutoCAD LT</w:t>
            </w:r>
          </w:p>
        </w:tc>
      </w:tr>
      <w:tr>
        <w:trPr>
          <w:trHeight w:val="144"/>
        </w:trPr>
        <w:tc>
          <w:tcPr>
            <w:tcW w:w="2880" w:type="dxa"/>
            <w:vAlign w:val="bottom"/>
          </w:tcPr>
          <w:p>
            <w:pPr>
              <w:ind w:left="640"/>
              <w:spacing w:after="0" w:line="144" w:lineRule="exact"/>
              <w:rPr>
                <w:sz w:val="20"/>
                <w:szCs w:val="20"/>
                <w:color w:val="auto"/>
              </w:rPr>
            </w:pPr>
            <w:r>
              <w:rPr>
                <w:rFonts w:ascii="Arial" w:cs="Arial" w:eastAsia="Arial" w:hAnsi="Arial"/>
                <w:sz w:val="14"/>
                <w:szCs w:val="14"/>
                <w:color w:val="auto"/>
              </w:rPr>
              <w:t>MFG</w:t>
            </w:r>
          </w:p>
        </w:tc>
        <w:tc>
          <w:tcPr>
            <w:tcW w:w="540" w:type="dxa"/>
            <w:vAlign w:val="bottom"/>
          </w:tcPr>
          <w:p>
            <w:pPr>
              <w:spacing w:after="0"/>
              <w:rPr>
                <w:sz w:val="12"/>
                <w:szCs w:val="12"/>
                <w:color w:val="auto"/>
              </w:rPr>
            </w:pP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246</w:t>
            </w: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80" w:type="dxa"/>
            <w:vAlign w:val="bottom"/>
          </w:tcPr>
          <w:p>
            <w:pPr>
              <w:jc w:val="right"/>
              <w:spacing w:after="0" w:line="144" w:lineRule="exact"/>
              <w:rPr>
                <w:sz w:val="20"/>
                <w:szCs w:val="20"/>
                <w:color w:val="auto"/>
              </w:rPr>
            </w:pPr>
            <w:r>
              <w:rPr>
                <w:rFonts w:ascii="Arial" w:cs="Arial" w:eastAsia="Arial" w:hAnsi="Arial"/>
                <w:sz w:val="14"/>
                <w:szCs w:val="14"/>
                <w:color w:val="auto"/>
              </w:rPr>
              <w:t>21</w:t>
            </w: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460" w:type="dxa"/>
            <w:vAlign w:val="bottom"/>
          </w:tcPr>
          <w:p>
            <w:pPr>
              <w:jc w:val="right"/>
              <w:ind w:right="191"/>
              <w:spacing w:after="0" w:line="144" w:lineRule="exact"/>
              <w:rPr>
                <w:sz w:val="20"/>
                <w:szCs w:val="20"/>
                <w:color w:val="auto"/>
              </w:rPr>
            </w:pPr>
            <w:r>
              <w:rPr>
                <w:rFonts w:ascii="Arial" w:cs="Arial" w:eastAsia="Arial" w:hAnsi="Arial"/>
                <w:sz w:val="14"/>
                <w:szCs w:val="14"/>
                <w:color w:val="auto"/>
              </w:rPr>
              <w:t>9</w:t>
            </w:r>
          </w:p>
        </w:tc>
        <w:tc>
          <w:tcPr>
            <w:tcW w:w="26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225</w:t>
            </w:r>
          </w:p>
        </w:tc>
        <w:tc>
          <w:tcPr>
            <w:tcW w:w="80" w:type="dxa"/>
            <w:vAlign w:val="bottom"/>
          </w:tcPr>
          <w:p>
            <w:pPr>
              <w:spacing w:after="0"/>
              <w:rPr>
                <w:sz w:val="12"/>
                <w:szCs w:val="12"/>
                <w:color w:val="auto"/>
              </w:rPr>
            </w:pPr>
          </w:p>
        </w:tc>
        <w:tc>
          <w:tcPr>
            <w:tcW w:w="2300" w:type="dxa"/>
            <w:vAlign w:val="bottom"/>
          </w:tcPr>
          <w:p>
            <w:pPr>
              <w:ind w:left="360"/>
              <w:spacing w:after="0" w:line="144" w:lineRule="exact"/>
              <w:rPr>
                <w:sz w:val="20"/>
                <w:szCs w:val="20"/>
                <w:color w:val="auto"/>
              </w:rPr>
            </w:pPr>
            <w:r>
              <w:rPr>
                <w:rFonts w:ascii="Arial" w:cs="Arial" w:eastAsia="Arial" w:hAnsi="Arial"/>
                <w:sz w:val="14"/>
                <w:szCs w:val="14"/>
                <w:color w:val="auto"/>
                <w:w w:val="97"/>
              </w:rPr>
              <w:t>Increase due to growth in reven</w:t>
            </w:r>
          </w:p>
        </w:tc>
      </w:tr>
      <w:tr>
        <w:trPr>
          <w:trHeight w:val="141"/>
        </w:trPr>
        <w:tc>
          <w:tcPr>
            <w:tcW w:w="28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300" w:type="dxa"/>
            <w:vAlign w:val="bottom"/>
          </w:tcPr>
          <w:p>
            <w:pPr>
              <w:spacing w:after="0" w:line="141" w:lineRule="exact"/>
              <w:rPr>
                <w:sz w:val="20"/>
                <w:szCs w:val="20"/>
                <w:color w:val="auto"/>
              </w:rPr>
            </w:pPr>
            <w:r>
              <w:rPr>
                <w:rFonts w:ascii="Arial" w:cs="Arial" w:eastAsia="Arial" w:hAnsi="Arial"/>
                <w:sz w:val="14"/>
                <w:szCs w:val="14"/>
                <w:color w:val="auto"/>
              </w:rPr>
              <w:t>from MFG Collections, Fusion 360,</w:t>
            </w:r>
          </w:p>
        </w:tc>
      </w:tr>
      <w:tr>
        <w:trPr>
          <w:trHeight w:val="182"/>
        </w:trPr>
        <w:tc>
          <w:tcPr>
            <w:tcW w:w="28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4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300" w:type="dxa"/>
            <w:vAlign w:val="bottom"/>
          </w:tcPr>
          <w:p>
            <w:pPr>
              <w:spacing w:after="0"/>
              <w:rPr>
                <w:sz w:val="20"/>
                <w:szCs w:val="20"/>
                <w:color w:val="auto"/>
              </w:rPr>
            </w:pPr>
            <w:r>
              <w:rPr>
                <w:rFonts w:ascii="Arial" w:cs="Arial" w:eastAsia="Arial" w:hAnsi="Arial"/>
                <w:sz w:val="14"/>
                <w:szCs w:val="14"/>
                <w:color w:val="auto"/>
              </w:rPr>
              <w:t>EBAs and Vault.</w:t>
            </w:r>
          </w:p>
        </w:tc>
      </w:tr>
      <w:tr>
        <w:trPr>
          <w:trHeight w:val="146"/>
        </w:trPr>
        <w:tc>
          <w:tcPr>
            <w:tcW w:w="2880" w:type="dxa"/>
            <w:vAlign w:val="bottom"/>
            <w:shd w:val="clear" w:color="auto" w:fill="CCEEFF"/>
          </w:tcPr>
          <w:p>
            <w:pPr>
              <w:ind w:left="640"/>
              <w:spacing w:after="0" w:line="147" w:lineRule="exact"/>
              <w:rPr>
                <w:sz w:val="20"/>
                <w:szCs w:val="20"/>
                <w:color w:val="auto"/>
              </w:rPr>
            </w:pPr>
            <w:r>
              <w:rPr>
                <w:rFonts w:ascii="Arial" w:cs="Arial" w:eastAsia="Arial" w:hAnsi="Arial"/>
                <w:sz w:val="14"/>
                <w:szCs w:val="14"/>
                <w:color w:val="auto"/>
              </w:rPr>
              <w:t>M&amp;E</w:t>
            </w:r>
          </w:p>
        </w:tc>
        <w:tc>
          <w:tcPr>
            <w:tcW w:w="540" w:type="dxa"/>
            <w:vAlign w:val="bottom"/>
            <w:shd w:val="clear" w:color="auto" w:fill="CCEEFF"/>
          </w:tcPr>
          <w:p>
            <w:pPr>
              <w:spacing w:after="0"/>
              <w:rPr>
                <w:sz w:val="12"/>
                <w:szCs w:val="12"/>
                <w:color w:val="auto"/>
              </w:rPr>
            </w:pPr>
          </w:p>
        </w:tc>
        <w:tc>
          <w:tcPr>
            <w:tcW w:w="680" w:type="dxa"/>
            <w:vAlign w:val="bottom"/>
            <w:shd w:val="clear" w:color="auto" w:fill="CCEEFF"/>
          </w:tcPr>
          <w:p>
            <w:pPr>
              <w:jc w:val="right"/>
              <w:ind w:right="11"/>
              <w:spacing w:after="0" w:line="147" w:lineRule="exact"/>
              <w:rPr>
                <w:sz w:val="20"/>
                <w:szCs w:val="20"/>
                <w:color w:val="auto"/>
              </w:rPr>
            </w:pPr>
            <w:r>
              <w:rPr>
                <w:rFonts w:ascii="Arial" w:cs="Arial" w:eastAsia="Arial" w:hAnsi="Arial"/>
                <w:sz w:val="14"/>
                <w:szCs w:val="14"/>
                <w:color w:val="auto"/>
              </w:rPr>
              <w:t>71</w:t>
            </w:r>
          </w:p>
        </w:tc>
        <w:tc>
          <w:tcPr>
            <w:tcW w:w="80" w:type="dxa"/>
            <w:vAlign w:val="bottom"/>
            <w:shd w:val="clear" w:color="auto" w:fill="CCEEFF"/>
          </w:tcPr>
          <w:p>
            <w:pPr>
              <w:spacing w:after="0"/>
              <w:rPr>
                <w:sz w:val="12"/>
                <w:szCs w:val="12"/>
                <w:color w:val="auto"/>
              </w:rPr>
            </w:pPr>
          </w:p>
        </w:tc>
        <w:tc>
          <w:tcPr>
            <w:tcW w:w="520" w:type="dxa"/>
            <w:vAlign w:val="bottom"/>
            <w:shd w:val="clear" w:color="auto" w:fill="CCEEFF"/>
          </w:tcPr>
          <w:p>
            <w:pPr>
              <w:spacing w:after="0"/>
              <w:rPr>
                <w:sz w:val="12"/>
                <w:szCs w:val="12"/>
                <w:color w:val="auto"/>
              </w:rPr>
            </w:pPr>
          </w:p>
        </w:tc>
        <w:tc>
          <w:tcPr>
            <w:tcW w:w="5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3</w:t>
            </w: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460" w:type="dxa"/>
            <w:vAlign w:val="bottom"/>
            <w:shd w:val="clear" w:color="auto" w:fill="CCEEFF"/>
          </w:tcPr>
          <w:p>
            <w:pPr>
              <w:jc w:val="right"/>
              <w:ind w:right="191"/>
              <w:spacing w:after="0" w:line="147" w:lineRule="exact"/>
              <w:rPr>
                <w:sz w:val="20"/>
                <w:szCs w:val="20"/>
                <w:color w:val="auto"/>
              </w:rPr>
            </w:pPr>
            <w:r>
              <w:rPr>
                <w:rFonts w:ascii="Arial" w:cs="Arial" w:eastAsia="Arial" w:hAnsi="Arial"/>
                <w:sz w:val="14"/>
                <w:szCs w:val="14"/>
                <w:color w:val="auto"/>
              </w:rPr>
              <w:t>4</w:t>
            </w:r>
          </w:p>
        </w:tc>
        <w:tc>
          <w:tcPr>
            <w:tcW w:w="26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2"/>
                <w:szCs w:val="12"/>
                <w:color w:val="auto"/>
              </w:rPr>
            </w:pPr>
          </w:p>
        </w:tc>
        <w:tc>
          <w:tcPr>
            <w:tcW w:w="540" w:type="dxa"/>
            <w:vAlign w:val="bottom"/>
            <w:shd w:val="clear" w:color="auto" w:fill="CCEEFF"/>
          </w:tcPr>
          <w:p>
            <w:pPr>
              <w:spacing w:after="0"/>
              <w:rPr>
                <w:sz w:val="12"/>
                <w:szCs w:val="12"/>
                <w:color w:val="auto"/>
              </w:rPr>
            </w:pPr>
          </w:p>
        </w:tc>
        <w:tc>
          <w:tcPr>
            <w:tcW w:w="680" w:type="dxa"/>
            <w:vAlign w:val="bottom"/>
            <w:shd w:val="clear" w:color="auto" w:fill="CCEEFF"/>
          </w:tcPr>
          <w:p>
            <w:pPr>
              <w:jc w:val="right"/>
              <w:ind w:right="11"/>
              <w:spacing w:after="0" w:line="147" w:lineRule="exact"/>
              <w:rPr>
                <w:sz w:val="20"/>
                <w:szCs w:val="20"/>
                <w:color w:val="auto"/>
              </w:rPr>
            </w:pPr>
            <w:r>
              <w:rPr>
                <w:rFonts w:ascii="Arial" w:cs="Arial" w:eastAsia="Arial" w:hAnsi="Arial"/>
                <w:sz w:val="14"/>
                <w:szCs w:val="14"/>
                <w:color w:val="auto"/>
              </w:rPr>
              <w:t>68</w:t>
            </w:r>
          </w:p>
        </w:tc>
        <w:tc>
          <w:tcPr>
            <w:tcW w:w="80" w:type="dxa"/>
            <w:vAlign w:val="bottom"/>
            <w:shd w:val="clear" w:color="auto" w:fill="CCEEFF"/>
          </w:tcPr>
          <w:p>
            <w:pPr>
              <w:spacing w:after="0"/>
              <w:rPr>
                <w:sz w:val="12"/>
                <w:szCs w:val="12"/>
                <w:color w:val="auto"/>
              </w:rPr>
            </w:pPr>
          </w:p>
        </w:tc>
        <w:tc>
          <w:tcPr>
            <w:tcW w:w="2300" w:type="dxa"/>
            <w:vAlign w:val="bottom"/>
            <w:shd w:val="clear" w:color="auto" w:fill="CCEEFF"/>
          </w:tcPr>
          <w:p>
            <w:pPr>
              <w:ind w:left="360"/>
              <w:spacing w:after="0" w:line="147" w:lineRule="exact"/>
              <w:rPr>
                <w:sz w:val="20"/>
                <w:szCs w:val="20"/>
                <w:color w:val="auto"/>
              </w:rPr>
            </w:pPr>
            <w:r>
              <w:rPr>
                <w:rFonts w:ascii="Arial" w:cs="Arial" w:eastAsia="Arial" w:hAnsi="Arial"/>
                <w:sz w:val="14"/>
                <w:szCs w:val="14"/>
                <w:color w:val="auto"/>
                <w:w w:val="97"/>
              </w:rPr>
              <w:t>Increase due to growth in reven</w:t>
            </w:r>
          </w:p>
        </w:tc>
      </w:tr>
      <w:tr>
        <w:trPr>
          <w:trHeight w:val="184"/>
        </w:trPr>
        <w:tc>
          <w:tcPr>
            <w:tcW w:w="28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5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460" w:type="dxa"/>
            <w:vAlign w:val="bottom"/>
            <w:shd w:val="clear" w:color="auto" w:fill="CCEEFF"/>
          </w:tcPr>
          <w:p>
            <w:pPr>
              <w:spacing w:after="0"/>
              <w:rPr>
                <w:sz w:val="16"/>
                <w:szCs w:val="16"/>
                <w:color w:val="auto"/>
              </w:rPr>
            </w:pPr>
          </w:p>
        </w:tc>
        <w:tc>
          <w:tcPr>
            <w:tcW w:w="26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54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2300" w:type="dxa"/>
            <w:vAlign w:val="bottom"/>
            <w:shd w:val="clear" w:color="auto" w:fill="CCEEFF"/>
          </w:tcPr>
          <w:p>
            <w:pPr>
              <w:spacing w:after="0"/>
              <w:rPr>
                <w:sz w:val="20"/>
                <w:szCs w:val="20"/>
                <w:color w:val="auto"/>
              </w:rPr>
            </w:pPr>
            <w:r>
              <w:rPr>
                <w:rFonts w:ascii="Arial" w:cs="Arial" w:eastAsia="Arial" w:hAnsi="Arial"/>
                <w:sz w:val="14"/>
                <w:szCs w:val="14"/>
                <w:color w:val="auto"/>
              </w:rPr>
              <w:t>from EBAs, 3DS Max, and Maya.</w:t>
            </w:r>
          </w:p>
        </w:tc>
      </w:tr>
      <w:tr>
        <w:trPr>
          <w:trHeight w:val="185"/>
        </w:trPr>
        <w:tc>
          <w:tcPr>
            <w:tcW w:w="2880" w:type="dxa"/>
            <w:vAlign w:val="bottom"/>
            <w:tcBorders>
              <w:bottom w:val="single" w:sz="8" w:color="CCEEFF"/>
            </w:tcBorders>
          </w:tcPr>
          <w:p>
            <w:pPr>
              <w:ind w:left="640"/>
              <w:spacing w:after="0"/>
              <w:rPr>
                <w:sz w:val="20"/>
                <w:szCs w:val="20"/>
                <w:color w:val="auto"/>
              </w:rPr>
            </w:pPr>
            <w:r>
              <w:rPr>
                <w:rFonts w:ascii="Arial" w:cs="Arial" w:eastAsia="Arial" w:hAnsi="Arial"/>
                <w:sz w:val="14"/>
                <w:szCs w:val="14"/>
                <w:color w:val="auto"/>
              </w:rPr>
              <w:t>Other</w:t>
            </w:r>
          </w:p>
        </w:tc>
        <w:tc>
          <w:tcPr>
            <w:tcW w:w="540" w:type="dxa"/>
            <w:vAlign w:val="bottom"/>
            <w:tcBorders>
              <w:bottom w:val="single" w:sz="8" w:color="auto"/>
            </w:tcBorders>
          </w:tcPr>
          <w:p>
            <w:pPr>
              <w:spacing w:after="0"/>
              <w:rPr>
                <w:sz w:val="16"/>
                <w:szCs w:val="16"/>
                <w:color w:val="auto"/>
              </w:rPr>
            </w:pPr>
          </w:p>
        </w:tc>
        <w:tc>
          <w:tcPr>
            <w:tcW w:w="68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21</w:t>
            </w:r>
          </w:p>
        </w:tc>
        <w:tc>
          <w:tcPr>
            <w:tcW w:w="80" w:type="dxa"/>
            <w:vAlign w:val="bottom"/>
            <w:tcBorders>
              <w:bottom w:val="single" w:sz="8" w:color="CCEEFF"/>
            </w:tcBorders>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w:t>
            </w:r>
          </w:p>
        </w:tc>
        <w:tc>
          <w:tcPr>
            <w:tcW w:w="80" w:type="dxa"/>
            <w:vAlign w:val="bottom"/>
            <w:tcBorders>
              <w:bottom w:val="single" w:sz="8" w:color="CCEEFF"/>
            </w:tcBorders>
          </w:tcPr>
          <w:p>
            <w:pPr>
              <w:spacing w:after="0"/>
              <w:rPr>
                <w:sz w:val="16"/>
                <w:szCs w:val="16"/>
                <w:color w:val="auto"/>
              </w:rPr>
            </w:pPr>
          </w:p>
        </w:tc>
        <w:tc>
          <w:tcPr>
            <w:tcW w:w="540" w:type="dxa"/>
            <w:vAlign w:val="bottom"/>
            <w:tcBorders>
              <w:bottom w:val="single" w:sz="8" w:color="CCEEFF"/>
            </w:tcBorders>
          </w:tcPr>
          <w:p>
            <w:pPr>
              <w:spacing w:after="0"/>
              <w:rPr>
                <w:sz w:val="16"/>
                <w:szCs w:val="16"/>
                <w:color w:val="auto"/>
              </w:rPr>
            </w:pPr>
          </w:p>
        </w:tc>
        <w:tc>
          <w:tcPr>
            <w:tcW w:w="460" w:type="dxa"/>
            <w:vAlign w:val="bottom"/>
            <w:tcBorders>
              <w:bottom w:val="single" w:sz="8" w:color="CCEEFF"/>
            </w:tcBorders>
          </w:tcPr>
          <w:p>
            <w:pPr>
              <w:jc w:val="right"/>
              <w:ind w:right="191"/>
              <w:spacing w:after="0"/>
              <w:rPr>
                <w:sz w:val="20"/>
                <w:szCs w:val="20"/>
                <w:color w:val="auto"/>
              </w:rPr>
            </w:pPr>
            <w:r>
              <w:rPr>
                <w:rFonts w:ascii="Arial" w:cs="Arial" w:eastAsia="Arial" w:hAnsi="Arial"/>
                <w:sz w:val="14"/>
                <w:szCs w:val="14"/>
                <w:color w:val="auto"/>
              </w:rPr>
              <w:t>62</w:t>
            </w:r>
          </w:p>
        </w:tc>
        <w:tc>
          <w:tcPr>
            <w:tcW w:w="260" w:type="dxa"/>
            <w:vAlign w:val="bottom"/>
            <w:tcBorders>
              <w:bottom w:val="single" w:sz="8" w:color="CCEEFF"/>
            </w:tcBorders>
          </w:tcPr>
          <w:p>
            <w:pPr>
              <w:jc w:val="right"/>
              <w:spacing w:after="0"/>
              <w:rPr>
                <w:sz w:val="20"/>
                <w:szCs w:val="20"/>
                <w:color w:val="auto"/>
              </w:rPr>
            </w:pPr>
            <w:r>
              <w:rPr>
                <w:rFonts w:ascii="Arial" w:cs="Arial" w:eastAsia="Arial" w:hAnsi="Arial"/>
                <w:sz w:val="14"/>
                <w:szCs w:val="14"/>
                <w:color w:val="auto"/>
              </w:rPr>
              <w:t>%</w:t>
            </w:r>
          </w:p>
        </w:tc>
        <w:tc>
          <w:tcPr>
            <w:tcW w:w="80" w:type="dxa"/>
            <w:vAlign w:val="bottom"/>
            <w:tcBorders>
              <w:bottom w:val="single" w:sz="8" w:color="CCEEFF"/>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68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13</w:t>
            </w:r>
          </w:p>
        </w:tc>
        <w:tc>
          <w:tcPr>
            <w:tcW w:w="80" w:type="dxa"/>
            <w:vAlign w:val="bottom"/>
            <w:tcBorders>
              <w:bottom w:val="single" w:sz="8" w:color="CCEEFF"/>
            </w:tcBorders>
          </w:tcPr>
          <w:p>
            <w:pPr>
              <w:spacing w:after="0"/>
              <w:rPr>
                <w:sz w:val="16"/>
                <w:szCs w:val="16"/>
                <w:color w:val="auto"/>
              </w:rPr>
            </w:pPr>
          </w:p>
        </w:tc>
        <w:tc>
          <w:tcPr>
            <w:tcW w:w="2300" w:type="dxa"/>
            <w:vAlign w:val="bottom"/>
            <w:tcBorders>
              <w:bottom w:val="single" w:sz="8" w:color="CCEEFF"/>
            </w:tcBorders>
          </w:tcPr>
          <w:p>
            <w:pPr>
              <w:spacing w:after="0"/>
              <w:rPr>
                <w:sz w:val="16"/>
                <w:szCs w:val="16"/>
                <w:color w:val="auto"/>
              </w:rPr>
            </w:pPr>
          </w:p>
        </w:tc>
      </w:tr>
      <w:tr>
        <w:trPr>
          <w:trHeight w:val="202"/>
        </w:trPr>
        <w:tc>
          <w:tcPr>
            <w:tcW w:w="2880" w:type="dxa"/>
            <w:vAlign w:val="bottom"/>
            <w:shd w:val="clear" w:color="auto" w:fill="CCEEFF"/>
          </w:tcPr>
          <w:p>
            <w:pPr>
              <w:ind w:left="360"/>
              <w:spacing w:after="0"/>
              <w:rPr>
                <w:sz w:val="20"/>
                <w:szCs w:val="20"/>
                <w:color w:val="auto"/>
              </w:rPr>
            </w:pPr>
            <w:r>
              <w:rPr>
                <w:rFonts w:ascii="Arial" w:cs="Arial" w:eastAsia="Arial" w:hAnsi="Arial"/>
                <w:sz w:val="14"/>
                <w:szCs w:val="14"/>
                <w:color w:val="auto"/>
              </w:rPr>
              <w:t>Total Net Revenue</w:t>
            </w:r>
          </w:p>
        </w:tc>
        <w:tc>
          <w:tcPr>
            <w:tcW w:w="540" w:type="dxa"/>
            <w:vAlign w:val="bottom"/>
            <w:shd w:val="clear" w:color="auto" w:fill="CCEEFF"/>
          </w:tcPr>
          <w:p>
            <w:pPr>
              <w:ind w:left="380"/>
              <w:spacing w:after="0"/>
              <w:rPr>
                <w:sz w:val="20"/>
                <w:szCs w:val="20"/>
                <w:color w:val="auto"/>
              </w:rPr>
            </w:pPr>
            <w:r>
              <w:rPr>
                <w:rFonts w:ascii="Arial" w:cs="Arial" w:eastAsia="Arial" w:hAnsi="Arial"/>
                <w:sz w:val="14"/>
                <w:szCs w:val="14"/>
                <w:color w:val="auto"/>
              </w:rPr>
              <w:t>$</w:t>
            </w:r>
          </w:p>
        </w:tc>
        <w:tc>
          <w:tcPr>
            <w:tcW w:w="6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1,269</w:t>
            </w:r>
          </w:p>
        </w:tc>
        <w:tc>
          <w:tcPr>
            <w:tcW w:w="600" w:type="dxa"/>
            <w:vAlign w:val="bottom"/>
            <w:gridSpan w:val="2"/>
            <w:shd w:val="clear" w:color="auto" w:fill="CCEEFF"/>
          </w:tcPr>
          <w:p>
            <w:pPr>
              <w:jc w:val="right"/>
              <w:ind w:right="80"/>
              <w:spacing w:after="0"/>
              <w:rPr>
                <w:sz w:val="20"/>
                <w:szCs w:val="20"/>
                <w:color w:val="auto"/>
              </w:rPr>
            </w:pPr>
            <w:r>
              <w:rPr>
                <w:rFonts w:ascii="Arial" w:cs="Arial" w:eastAsia="Arial" w:hAnsi="Arial"/>
                <w:sz w:val="14"/>
                <w:szCs w:val="14"/>
                <w:color w:val="auto"/>
              </w:rPr>
              <w:t>$</w:t>
            </w:r>
          </w:p>
        </w:tc>
        <w:tc>
          <w:tcPr>
            <w:tcW w:w="5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99</w:t>
            </w:r>
          </w:p>
        </w:tc>
        <w:tc>
          <w:tcPr>
            <w:tcW w:w="80" w:type="dxa"/>
            <w:vAlign w:val="bottom"/>
            <w:shd w:val="clear" w:color="auto" w:fill="CCEEFF"/>
          </w:tcPr>
          <w:p>
            <w:pPr>
              <w:spacing w:after="0"/>
              <w:rPr>
                <w:sz w:val="17"/>
                <w:szCs w:val="17"/>
                <w:color w:val="auto"/>
              </w:rPr>
            </w:pPr>
          </w:p>
        </w:tc>
        <w:tc>
          <w:tcPr>
            <w:tcW w:w="540" w:type="dxa"/>
            <w:vAlign w:val="bottom"/>
            <w:shd w:val="clear" w:color="auto" w:fill="CCEEFF"/>
          </w:tcPr>
          <w:p>
            <w:pPr>
              <w:spacing w:after="0"/>
              <w:rPr>
                <w:sz w:val="17"/>
                <w:szCs w:val="17"/>
                <w:color w:val="auto"/>
              </w:rPr>
            </w:pPr>
          </w:p>
        </w:tc>
        <w:tc>
          <w:tcPr>
            <w:tcW w:w="460" w:type="dxa"/>
            <w:vAlign w:val="bottom"/>
            <w:shd w:val="clear" w:color="auto" w:fill="CCEEFF"/>
          </w:tcPr>
          <w:p>
            <w:pPr>
              <w:jc w:val="right"/>
              <w:ind w:right="191"/>
              <w:spacing w:after="0"/>
              <w:rPr>
                <w:sz w:val="20"/>
                <w:szCs w:val="20"/>
                <w:color w:val="auto"/>
              </w:rPr>
            </w:pPr>
            <w:r>
              <w:rPr>
                <w:rFonts w:ascii="Arial" w:cs="Arial" w:eastAsia="Arial" w:hAnsi="Arial"/>
                <w:sz w:val="14"/>
                <w:szCs w:val="14"/>
                <w:color w:val="auto"/>
              </w:rPr>
              <w:t>8</w:t>
            </w:r>
          </w:p>
        </w:tc>
        <w:tc>
          <w:tcPr>
            <w:tcW w:w="2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620" w:type="dxa"/>
            <w:vAlign w:val="bottom"/>
            <w:gridSpan w:val="2"/>
            <w:shd w:val="clear" w:color="auto" w:fill="CCEEFF"/>
          </w:tcPr>
          <w:p>
            <w:pPr>
              <w:ind w:left="460"/>
              <w:spacing w:after="0"/>
              <w:rPr>
                <w:sz w:val="20"/>
                <w:szCs w:val="20"/>
                <w:color w:val="auto"/>
              </w:rPr>
            </w:pPr>
            <w:r>
              <w:rPr>
                <w:rFonts w:ascii="Arial" w:cs="Arial" w:eastAsia="Arial" w:hAnsi="Arial"/>
                <w:sz w:val="14"/>
                <w:szCs w:val="14"/>
                <w:color w:val="auto"/>
              </w:rPr>
              <w:t>$</w:t>
            </w:r>
          </w:p>
        </w:tc>
        <w:tc>
          <w:tcPr>
            <w:tcW w:w="6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1,170</w:t>
            </w:r>
          </w:p>
        </w:tc>
        <w:tc>
          <w:tcPr>
            <w:tcW w:w="80" w:type="dxa"/>
            <w:vAlign w:val="bottom"/>
            <w:shd w:val="clear" w:color="auto" w:fill="CCEEFF"/>
          </w:tcPr>
          <w:p>
            <w:pPr>
              <w:spacing w:after="0"/>
              <w:rPr>
                <w:sz w:val="17"/>
                <w:szCs w:val="17"/>
                <w:color w:val="auto"/>
              </w:rPr>
            </w:pPr>
          </w:p>
        </w:tc>
        <w:tc>
          <w:tcPr>
            <w:tcW w:w="2300" w:type="dxa"/>
            <w:vAlign w:val="bottom"/>
            <w:shd w:val="clear" w:color="auto" w:fill="CCEEFF"/>
          </w:tcPr>
          <w:p>
            <w:pPr>
              <w:spacing w:after="0"/>
              <w:rPr>
                <w:sz w:val="17"/>
                <w:szCs w:val="17"/>
                <w:color w:val="auto"/>
              </w:rPr>
            </w:pPr>
          </w:p>
        </w:tc>
      </w:tr>
      <w:tr>
        <w:trPr>
          <w:trHeight w:val="20"/>
        </w:trPr>
        <w:tc>
          <w:tcPr>
            <w:tcW w:w="288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tcBorders>
          </w:tcPr>
          <w:p>
            <w:pPr>
              <w:spacing w:after="0" w:line="20" w:lineRule="exact"/>
              <w:rPr>
                <w:sz w:val="1"/>
                <w:szCs w:val="1"/>
                <w:color w:val="auto"/>
              </w:rPr>
            </w:pPr>
          </w:p>
        </w:tc>
        <w:tc>
          <w:tcPr>
            <w:tcW w:w="460" w:type="dxa"/>
            <w:vAlign w:val="bottom"/>
            <w:tcBorders>
              <w:top w:val="single" w:sz="8" w:color="CCEEFF"/>
            </w:tcBorders>
          </w:tcPr>
          <w:p>
            <w:pPr>
              <w:spacing w:after="0" w:line="20" w:lineRule="exact"/>
              <w:rPr>
                <w:sz w:val="1"/>
                <w:szCs w:val="1"/>
                <w:color w:val="auto"/>
              </w:rPr>
            </w:pPr>
          </w:p>
        </w:tc>
        <w:tc>
          <w:tcPr>
            <w:tcW w:w="260" w:type="dxa"/>
            <w:vAlign w:val="bottom"/>
            <w:tcBorders>
              <w:top w:val="single" w:sz="8" w:color="CCEEFF"/>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2300" w:type="dxa"/>
            <w:vAlign w:val="bottom"/>
            <w:tcBorders>
              <w:top w:val="single" w:sz="8" w:color="CCEEFF"/>
            </w:tcBorders>
          </w:tcPr>
          <w:p>
            <w:pPr>
              <w:spacing w:after="0" w:line="20" w:lineRule="exact"/>
              <w:rPr>
                <w:sz w:val="1"/>
                <w:szCs w:val="1"/>
                <w:color w:val="auto"/>
              </w:rPr>
            </w:pPr>
          </w:p>
        </w:tc>
      </w:tr>
    </w:tbl>
    <w:p>
      <w:pPr>
        <w:spacing w:after="0" w:line="40"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right="220" w:firstLine="4"/>
        <w:spacing w:after="0" w:line="250" w:lineRule="auto"/>
        <w:tabs>
          <w:tab w:leader="none" w:pos="210" w:val="left"/>
        </w:tabs>
        <w:numPr>
          <w:ilvl w:val="0"/>
          <w:numId w:val="19"/>
        </w:numPr>
        <w:rPr>
          <w:rFonts w:ascii="Arial" w:cs="Arial" w:eastAsia="Arial" w:hAnsi="Arial"/>
          <w:sz w:val="14"/>
          <w:szCs w:val="14"/>
          <w:color w:val="auto"/>
        </w:rPr>
      </w:pPr>
      <w:r>
        <w:rPr>
          <w:rFonts w:ascii="Arial" w:cs="Arial" w:eastAsia="Arial" w:hAnsi="Arial"/>
          <w:sz w:val="14"/>
          <w:szCs w:val="14"/>
          <w:color w:val="auto"/>
        </w:rPr>
        <w:t>During fiscal 2023, we corrected an immaterial classification error and reclassified certain revenue amounts between Architecture, Engineering and Construction and AutoCAD and AutoCAD LT. The results for the fiscal quarter ended April 30, 2022 have been adjusted to conform to the current period presentation. These reclassifications did not impact total net revenue.</w:t>
      </w:r>
    </w:p>
    <w:p>
      <w:pPr>
        <w:spacing w:after="0" w:line="197" w:lineRule="exact"/>
        <w:rPr>
          <w:sz w:val="20"/>
          <w:szCs w:val="20"/>
          <w:color w:val="auto"/>
        </w:rPr>
      </w:pPr>
    </w:p>
    <w:p>
      <w:pPr>
        <w:ind w:left="180"/>
        <w:spacing w:after="0"/>
        <w:rPr>
          <w:sz w:val="20"/>
          <w:szCs w:val="20"/>
          <w:color w:val="auto"/>
        </w:rPr>
      </w:pPr>
      <w:r>
        <w:rPr>
          <w:rFonts w:ascii="Arial" w:cs="Arial" w:eastAsia="Arial" w:hAnsi="Arial"/>
          <w:sz w:val="15"/>
          <w:szCs w:val="15"/>
          <w:i w:val="1"/>
          <w:iCs w:val="1"/>
          <w:color w:val="auto"/>
        </w:rPr>
        <w:t>Net Revenue by Geographic Area</w:t>
      </w:r>
    </w:p>
    <w:p>
      <w:pPr>
        <w:spacing w:after="0" w:line="101" w:lineRule="exact"/>
        <w:rPr>
          <w:sz w:val="20"/>
          <w:szCs w:val="20"/>
          <w:color w:val="auto"/>
        </w:rPr>
      </w:pPr>
    </w:p>
    <w:tbl>
      <w:tblPr>
        <w:tblLayout w:type="fixed"/>
        <w:tblInd w:w="100" w:type="dxa"/>
        <w:tblCellMar>
          <w:top w:w="0" w:type="dxa"/>
          <w:left w:w="0" w:type="dxa"/>
          <w:bottom w:w="0" w:type="dxa"/>
          <w:right w:w="0" w:type="dxa"/>
        </w:tblCellMar>
      </w:tblPr>
      <w:tr>
        <w:trPr>
          <w:trHeight w:val="149"/>
        </w:trPr>
        <w:tc>
          <w:tcPr>
            <w:tcW w:w="36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420" w:type="dxa"/>
            <w:vAlign w:val="bottom"/>
            <w:gridSpan w:val="3"/>
            <w:vMerge w:val="restart"/>
          </w:tcPr>
          <w:p>
            <w:pPr>
              <w:jc w:val="right"/>
              <w:ind w:right="80"/>
              <w:spacing w:after="0"/>
              <w:rPr>
                <w:sz w:val="20"/>
                <w:szCs w:val="20"/>
                <w:color w:val="auto"/>
              </w:rPr>
            </w:pPr>
            <w:r>
              <w:rPr>
                <w:rFonts w:ascii="Arial" w:cs="Arial" w:eastAsia="Arial" w:hAnsi="Arial"/>
                <w:sz w:val="13"/>
                <w:szCs w:val="13"/>
                <w:b w:val="1"/>
                <w:bCs w:val="1"/>
                <w:color w:val="auto"/>
              </w:rPr>
              <w:t>Change compared to</w:t>
            </w:r>
          </w:p>
        </w:tc>
        <w:tc>
          <w:tcPr>
            <w:tcW w:w="1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720" w:type="dxa"/>
            <w:vAlign w:val="bottom"/>
            <w:gridSpan w:val="2"/>
          </w:tcPr>
          <w:p>
            <w:pPr>
              <w:jc w:val="center"/>
              <w:spacing w:after="0"/>
              <w:rPr>
                <w:sz w:val="20"/>
                <w:szCs w:val="20"/>
                <w:color w:val="auto"/>
              </w:rPr>
            </w:pPr>
            <w:r>
              <w:rPr>
                <w:rFonts w:ascii="Arial" w:cs="Arial" w:eastAsia="Arial" w:hAnsi="Arial"/>
                <w:sz w:val="13"/>
                <w:szCs w:val="13"/>
                <w:b w:val="1"/>
                <w:bCs w:val="1"/>
                <w:color w:val="auto"/>
                <w:w w:val="98"/>
              </w:rPr>
              <w:t>Constant currency change</w:t>
            </w: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9"/>
        </w:trPr>
        <w:tc>
          <w:tcPr>
            <w:tcW w:w="36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4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420" w:type="dxa"/>
            <w:vAlign w:val="bottom"/>
            <w:gridSpan w:val="3"/>
            <w:vMerge w:val="continue"/>
          </w:tcPr>
          <w:p>
            <w:pPr>
              <w:spacing w:after="0"/>
              <w:rPr>
                <w:sz w:val="11"/>
                <w:szCs w:val="11"/>
                <w:color w:val="auto"/>
              </w:rPr>
            </w:pPr>
          </w:p>
        </w:tc>
        <w:tc>
          <w:tcPr>
            <w:tcW w:w="1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720" w:type="dxa"/>
            <w:vAlign w:val="bottom"/>
            <w:gridSpan w:val="2"/>
          </w:tcPr>
          <w:p>
            <w:pPr>
              <w:jc w:val="center"/>
              <w:spacing w:after="0" w:line="129" w:lineRule="exact"/>
              <w:rPr>
                <w:sz w:val="20"/>
                <w:szCs w:val="20"/>
                <w:color w:val="auto"/>
              </w:rPr>
            </w:pPr>
            <w:r>
              <w:rPr>
                <w:rFonts w:ascii="Arial" w:cs="Arial" w:eastAsia="Arial" w:hAnsi="Arial"/>
                <w:sz w:val="13"/>
                <w:szCs w:val="13"/>
                <w:b w:val="1"/>
                <w:bCs w:val="1"/>
                <w:color w:val="auto"/>
                <w:w w:val="98"/>
              </w:rPr>
              <w:t>compared to prior fiscal</w:t>
            </w: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3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36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52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99"/>
              </w:rPr>
              <w:t>Three Months Ended</w:t>
            </w:r>
          </w:p>
        </w:tc>
        <w:tc>
          <w:tcPr>
            <w:tcW w:w="180" w:type="dxa"/>
            <w:vAlign w:val="bottom"/>
            <w:tcBorders>
              <w:bottom w:val="single" w:sz="8" w:color="auto"/>
            </w:tcBorders>
          </w:tcPr>
          <w:p>
            <w:pPr>
              <w:spacing w:after="0"/>
              <w:rPr>
                <w:sz w:val="15"/>
                <w:szCs w:val="15"/>
                <w:color w:val="auto"/>
              </w:rPr>
            </w:pPr>
          </w:p>
        </w:tc>
        <w:tc>
          <w:tcPr>
            <w:tcW w:w="1420" w:type="dxa"/>
            <w:vAlign w:val="bottom"/>
            <w:tcBorders>
              <w:bottom w:val="single" w:sz="8" w:color="auto"/>
            </w:tcBorders>
            <w:gridSpan w:val="3"/>
          </w:tcPr>
          <w:p>
            <w:pPr>
              <w:jc w:val="right"/>
              <w:ind w:right="240"/>
              <w:spacing w:after="0"/>
              <w:rPr>
                <w:sz w:val="20"/>
                <w:szCs w:val="20"/>
                <w:color w:val="auto"/>
              </w:rPr>
            </w:pPr>
            <w:r>
              <w:rPr>
                <w:rFonts w:ascii="Arial" w:cs="Arial" w:eastAsia="Arial" w:hAnsi="Arial"/>
                <w:sz w:val="13"/>
                <w:szCs w:val="13"/>
                <w:b w:val="1"/>
                <w:bCs w:val="1"/>
                <w:color w:val="auto"/>
              </w:rPr>
              <w:t>prior fiscal year</w:t>
            </w:r>
          </w:p>
        </w:tc>
        <w:tc>
          <w:tcPr>
            <w:tcW w:w="16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1480" w:type="dxa"/>
            <w:vAlign w:val="bottom"/>
            <w:tcBorders>
              <w:bottom w:val="single" w:sz="8" w:color="auto"/>
            </w:tcBorders>
          </w:tcPr>
          <w:p>
            <w:pPr>
              <w:jc w:val="center"/>
              <w:ind w:left="156"/>
              <w:spacing w:after="0"/>
              <w:rPr>
                <w:sz w:val="20"/>
                <w:szCs w:val="20"/>
                <w:color w:val="auto"/>
              </w:rPr>
            </w:pPr>
            <w:r>
              <w:rPr>
                <w:rFonts w:ascii="Arial" w:cs="Arial" w:eastAsia="Arial" w:hAnsi="Arial"/>
                <w:sz w:val="13"/>
                <w:szCs w:val="13"/>
                <w:b w:val="1"/>
                <w:bCs w:val="1"/>
                <w:color w:val="auto"/>
                <w:w w:val="97"/>
              </w:rPr>
              <w:t>year</w:t>
            </w:r>
          </w:p>
        </w:tc>
        <w:tc>
          <w:tcPr>
            <w:tcW w:w="24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360" w:type="dxa"/>
            <w:vAlign w:val="bottom"/>
          </w:tcPr>
          <w:p>
            <w:pPr>
              <w:jc w:val="right"/>
              <w:ind w:right="11"/>
              <w:spacing w:after="0"/>
              <w:rPr>
                <w:sz w:val="20"/>
                <w:szCs w:val="20"/>
                <w:color w:val="auto"/>
              </w:rPr>
            </w:pPr>
            <w:r>
              <w:rPr>
                <w:rFonts w:ascii="Arial" w:cs="Arial" w:eastAsia="Arial" w:hAnsi="Arial"/>
                <w:sz w:val="13"/>
                <w:szCs w:val="13"/>
                <w:b w:val="1"/>
                <w:bCs w:val="1"/>
                <w:color w:val="auto"/>
                <w:w w:val="97"/>
              </w:rPr>
              <w:t>Three Months Ended</w:t>
            </w:r>
          </w:p>
        </w:tc>
        <w:tc>
          <w:tcPr>
            <w:tcW w:w="0" w:type="dxa"/>
            <w:vAlign w:val="bottom"/>
          </w:tcPr>
          <w:p>
            <w:pPr>
              <w:spacing w:after="0"/>
              <w:rPr>
                <w:sz w:val="1"/>
                <w:szCs w:val="1"/>
                <w:color w:val="auto"/>
              </w:rPr>
            </w:pPr>
          </w:p>
        </w:tc>
      </w:tr>
      <w:tr>
        <w:trPr>
          <w:trHeight w:val="191"/>
        </w:trPr>
        <w:tc>
          <w:tcPr>
            <w:tcW w:w="3620" w:type="dxa"/>
            <w:vAlign w:val="bottom"/>
          </w:tcPr>
          <w:p>
            <w:pPr>
              <w:spacing w:after="0"/>
              <w:rPr>
                <w:sz w:val="20"/>
                <w:szCs w:val="20"/>
                <w:color w:val="auto"/>
              </w:rPr>
            </w:pPr>
            <w:r>
              <w:rPr>
                <w:rFonts w:ascii="Arial" w:cs="Arial" w:eastAsia="Arial" w:hAnsi="Arial"/>
                <w:sz w:val="13"/>
                <w:szCs w:val="13"/>
                <w:i w:val="1"/>
                <w:iCs w:val="1"/>
                <w:color w:val="auto"/>
              </w:rPr>
              <w:t>(In millions, except percentages)</w:t>
            </w:r>
          </w:p>
        </w:tc>
        <w:tc>
          <w:tcPr>
            <w:tcW w:w="120" w:type="dxa"/>
            <w:vAlign w:val="bottom"/>
          </w:tcPr>
          <w:p>
            <w:pPr>
              <w:spacing w:after="0"/>
              <w:rPr>
                <w:sz w:val="16"/>
                <w:szCs w:val="16"/>
                <w:color w:val="auto"/>
              </w:rPr>
            </w:pPr>
          </w:p>
        </w:tc>
        <w:tc>
          <w:tcPr>
            <w:tcW w:w="152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rPr>
              <w:t>April 30, 2023</w:t>
            </w:r>
          </w:p>
        </w:tc>
        <w:tc>
          <w:tcPr>
            <w:tcW w:w="180" w:type="dxa"/>
            <w:vAlign w:val="bottom"/>
          </w:tcPr>
          <w:p>
            <w:pPr>
              <w:spacing w:after="0"/>
              <w:rPr>
                <w:sz w:val="16"/>
                <w:szCs w:val="16"/>
                <w:color w:val="auto"/>
              </w:rPr>
            </w:pPr>
          </w:p>
        </w:tc>
        <w:tc>
          <w:tcPr>
            <w:tcW w:w="560" w:type="dxa"/>
            <w:vAlign w:val="bottom"/>
          </w:tcPr>
          <w:p>
            <w:pPr>
              <w:jc w:val="right"/>
              <w:ind w:right="332"/>
              <w:spacing w:after="0"/>
              <w:rPr>
                <w:sz w:val="20"/>
                <w:szCs w:val="20"/>
                <w:color w:val="auto"/>
              </w:rPr>
            </w:pPr>
            <w:r>
              <w:rPr>
                <w:rFonts w:ascii="Arial" w:cs="Arial" w:eastAsia="Arial" w:hAnsi="Arial"/>
                <w:sz w:val="13"/>
                <w:szCs w:val="13"/>
                <w:b w:val="1"/>
                <w:bCs w:val="1"/>
                <w:color w:val="auto"/>
              </w:rPr>
              <w:t>$</w:t>
            </w:r>
          </w:p>
        </w:tc>
        <w:tc>
          <w:tcPr>
            <w:tcW w:w="860" w:type="dxa"/>
            <w:vAlign w:val="bottom"/>
            <w:gridSpan w:val="2"/>
          </w:tcPr>
          <w:p>
            <w:pPr>
              <w:jc w:val="right"/>
              <w:ind w:right="320"/>
              <w:spacing w:after="0"/>
              <w:rPr>
                <w:sz w:val="20"/>
                <w:szCs w:val="20"/>
                <w:color w:val="auto"/>
              </w:rPr>
            </w:pPr>
            <w:r>
              <w:rPr>
                <w:rFonts w:ascii="Arial" w:cs="Arial" w:eastAsia="Arial" w:hAnsi="Arial"/>
                <w:sz w:val="13"/>
                <w:szCs w:val="13"/>
                <w:b w:val="1"/>
                <w:bCs w:val="1"/>
                <w:color w:val="auto"/>
              </w:rPr>
              <w:t>%</w:t>
            </w:r>
          </w:p>
        </w:tc>
        <w:tc>
          <w:tcPr>
            <w:tcW w:w="160" w:type="dxa"/>
            <w:vAlign w:val="bottom"/>
          </w:tcPr>
          <w:p>
            <w:pPr>
              <w:spacing w:after="0"/>
              <w:rPr>
                <w:sz w:val="16"/>
                <w:szCs w:val="16"/>
                <w:color w:val="auto"/>
              </w:rPr>
            </w:pPr>
          </w:p>
        </w:tc>
        <w:tc>
          <w:tcPr>
            <w:tcW w:w="1580" w:type="dxa"/>
            <w:vAlign w:val="bottom"/>
            <w:gridSpan w:val="2"/>
          </w:tcPr>
          <w:p>
            <w:pPr>
              <w:jc w:val="right"/>
              <w:ind w:right="576"/>
              <w:spacing w:after="0"/>
              <w:rPr>
                <w:sz w:val="20"/>
                <w:szCs w:val="20"/>
                <w:color w:val="auto"/>
              </w:rPr>
            </w:pPr>
            <w:r>
              <w:rPr>
                <w:rFonts w:ascii="Arial" w:cs="Arial" w:eastAsia="Arial" w:hAnsi="Arial"/>
                <w:sz w:val="13"/>
                <w:szCs w:val="13"/>
                <w:b w:val="1"/>
                <w:bCs w:val="1"/>
                <w:color w:val="auto"/>
              </w:rPr>
              <w:t>%</w:t>
            </w:r>
          </w:p>
        </w:tc>
        <w:tc>
          <w:tcPr>
            <w:tcW w:w="2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360" w:type="dxa"/>
            <w:vAlign w:val="bottom"/>
          </w:tcPr>
          <w:p>
            <w:pPr>
              <w:jc w:val="right"/>
              <w:ind w:right="231"/>
              <w:spacing w:after="0"/>
              <w:rPr>
                <w:sz w:val="20"/>
                <w:szCs w:val="20"/>
                <w:color w:val="auto"/>
              </w:rPr>
            </w:pPr>
            <w:r>
              <w:rPr>
                <w:rFonts w:ascii="Arial" w:cs="Arial" w:eastAsia="Arial" w:hAnsi="Arial"/>
                <w:sz w:val="13"/>
                <w:szCs w:val="13"/>
                <w:b w:val="1"/>
                <w:bCs w:val="1"/>
                <w:color w:val="auto"/>
              </w:rPr>
              <w:t>April 30, 2022</w:t>
            </w:r>
          </w:p>
        </w:tc>
        <w:tc>
          <w:tcPr>
            <w:tcW w:w="0" w:type="dxa"/>
            <w:vAlign w:val="bottom"/>
          </w:tcPr>
          <w:p>
            <w:pPr>
              <w:spacing w:after="0"/>
              <w:rPr>
                <w:sz w:val="1"/>
                <w:szCs w:val="1"/>
                <w:color w:val="auto"/>
              </w:rPr>
            </w:pPr>
          </w:p>
        </w:tc>
      </w:tr>
      <w:tr>
        <w:trPr>
          <w:trHeight w:val="167"/>
        </w:trPr>
        <w:tc>
          <w:tcPr>
            <w:tcW w:w="3620" w:type="dxa"/>
            <w:vAlign w:val="bottom"/>
            <w:tcBorders>
              <w:top w:val="single" w:sz="8" w:color="CCEEFF"/>
            </w:tcBorders>
            <w:shd w:val="clear" w:color="auto" w:fill="CCEEFF"/>
          </w:tcPr>
          <w:p>
            <w:pPr>
              <w:spacing w:after="0"/>
              <w:rPr>
                <w:sz w:val="20"/>
                <w:szCs w:val="20"/>
                <w:color w:val="auto"/>
              </w:rPr>
            </w:pPr>
            <w:r>
              <w:rPr>
                <w:rFonts w:ascii="Arial" w:cs="Arial" w:eastAsia="Arial" w:hAnsi="Arial"/>
                <w:sz w:val="14"/>
                <w:szCs w:val="14"/>
                <w:color w:val="auto"/>
              </w:rPr>
              <w:t>Net Revenue:</w:t>
            </w:r>
          </w:p>
        </w:tc>
        <w:tc>
          <w:tcPr>
            <w:tcW w:w="120" w:type="dxa"/>
            <w:vAlign w:val="bottom"/>
            <w:tcBorders>
              <w:top w:val="single" w:sz="8" w:color="auto"/>
            </w:tcBorders>
            <w:shd w:val="clear" w:color="auto" w:fill="CCEEFF"/>
          </w:tcPr>
          <w:p>
            <w:pPr>
              <w:spacing w:after="0"/>
              <w:rPr>
                <w:sz w:val="14"/>
                <w:szCs w:val="14"/>
                <w:color w:val="auto"/>
              </w:rPr>
            </w:pPr>
          </w:p>
        </w:tc>
        <w:tc>
          <w:tcPr>
            <w:tcW w:w="144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180" w:type="dxa"/>
            <w:vAlign w:val="bottom"/>
            <w:tcBorders>
              <w:top w:val="single" w:sz="8" w:color="auto"/>
            </w:tcBorders>
            <w:shd w:val="clear" w:color="auto" w:fill="CCEEFF"/>
          </w:tcPr>
          <w:p>
            <w:pPr>
              <w:spacing w:after="0"/>
              <w:rPr>
                <w:sz w:val="14"/>
                <w:szCs w:val="14"/>
                <w:color w:val="auto"/>
              </w:rPr>
            </w:pPr>
          </w:p>
        </w:tc>
        <w:tc>
          <w:tcPr>
            <w:tcW w:w="56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760" w:type="dxa"/>
            <w:vAlign w:val="bottom"/>
            <w:tcBorders>
              <w:top w:val="single" w:sz="8" w:color="auto"/>
            </w:tcBorders>
            <w:shd w:val="clear" w:color="auto" w:fill="CCEEFF"/>
          </w:tcPr>
          <w:p>
            <w:pPr>
              <w:spacing w:after="0"/>
              <w:rPr>
                <w:sz w:val="14"/>
                <w:szCs w:val="14"/>
                <w:color w:val="auto"/>
              </w:rPr>
            </w:pPr>
          </w:p>
        </w:tc>
        <w:tc>
          <w:tcPr>
            <w:tcW w:w="16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480" w:type="dxa"/>
            <w:vAlign w:val="bottom"/>
            <w:tcBorders>
              <w:top w:val="single" w:sz="8" w:color="auto"/>
            </w:tcBorders>
            <w:shd w:val="clear" w:color="auto" w:fill="CCEEFF"/>
          </w:tcPr>
          <w:p>
            <w:pPr>
              <w:spacing w:after="0"/>
              <w:rPr>
                <w:sz w:val="14"/>
                <w:szCs w:val="14"/>
                <w:color w:val="auto"/>
              </w:rPr>
            </w:pPr>
          </w:p>
        </w:tc>
        <w:tc>
          <w:tcPr>
            <w:tcW w:w="24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100" w:type="dxa"/>
            <w:vAlign w:val="bottom"/>
            <w:tcBorders>
              <w:top w:val="single" w:sz="8" w:color="auto"/>
            </w:tcBorders>
            <w:shd w:val="clear" w:color="auto" w:fill="CCEEFF"/>
          </w:tcPr>
          <w:p>
            <w:pPr>
              <w:spacing w:after="0"/>
              <w:rPr>
                <w:sz w:val="14"/>
                <w:szCs w:val="14"/>
                <w:color w:val="auto"/>
              </w:rPr>
            </w:pPr>
          </w:p>
        </w:tc>
        <w:tc>
          <w:tcPr>
            <w:tcW w:w="136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3620" w:type="dxa"/>
            <w:vAlign w:val="bottom"/>
          </w:tcPr>
          <w:p>
            <w:pPr>
              <w:ind w:left="120"/>
              <w:spacing w:after="0"/>
              <w:rPr>
                <w:sz w:val="20"/>
                <w:szCs w:val="20"/>
                <w:color w:val="auto"/>
              </w:rPr>
            </w:pPr>
            <w:r>
              <w:rPr>
                <w:rFonts w:ascii="Arial" w:cs="Arial" w:eastAsia="Arial" w:hAnsi="Arial"/>
                <w:sz w:val="14"/>
                <w:szCs w:val="14"/>
                <w:color w:val="auto"/>
              </w:rPr>
              <w:t>Americas</w:t>
            </w:r>
          </w:p>
        </w:tc>
        <w:tc>
          <w:tcPr>
            <w:tcW w:w="12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8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3620" w:type="dxa"/>
            <w:vAlign w:val="bottom"/>
            <w:shd w:val="clear" w:color="auto" w:fill="CCEEFF"/>
          </w:tcPr>
          <w:p>
            <w:pPr>
              <w:ind w:left="180"/>
              <w:spacing w:after="0"/>
              <w:rPr>
                <w:sz w:val="20"/>
                <w:szCs w:val="20"/>
                <w:color w:val="auto"/>
              </w:rPr>
            </w:pPr>
            <w:r>
              <w:rPr>
                <w:rFonts w:ascii="Arial" w:cs="Arial" w:eastAsia="Arial" w:hAnsi="Arial"/>
                <w:sz w:val="14"/>
                <w:szCs w:val="14"/>
                <w:color w:val="auto"/>
              </w:rPr>
              <w:t>U.S.</w:t>
            </w:r>
          </w:p>
        </w:tc>
        <w:tc>
          <w:tcPr>
            <w:tcW w:w="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456</w:t>
            </w:r>
          </w:p>
        </w:tc>
        <w:tc>
          <w:tcPr>
            <w:tcW w:w="80" w:type="dxa"/>
            <w:vAlign w:val="bottom"/>
            <w:shd w:val="clear" w:color="auto" w:fill="CCEEFF"/>
          </w:tcPr>
          <w:p>
            <w:pPr>
              <w:spacing w:after="0"/>
              <w:rPr>
                <w:sz w:val="16"/>
                <w:szCs w:val="16"/>
                <w:color w:val="auto"/>
              </w:rPr>
            </w:pPr>
          </w:p>
        </w:tc>
        <w:tc>
          <w:tcPr>
            <w:tcW w:w="18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w:t>
            </w:r>
          </w:p>
        </w:tc>
        <w:tc>
          <w:tcPr>
            <w:tcW w:w="5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58</w:t>
            </w:r>
          </w:p>
        </w:tc>
        <w:tc>
          <w:tcPr>
            <w:tcW w:w="860" w:type="dxa"/>
            <w:vAlign w:val="bottom"/>
            <w:gridSpan w:val="2"/>
            <w:shd w:val="clear" w:color="auto" w:fill="CCEEFF"/>
          </w:tcPr>
          <w:p>
            <w:pPr>
              <w:jc w:val="right"/>
              <w:ind w:right="40"/>
              <w:spacing w:after="0"/>
              <w:rPr>
                <w:sz w:val="20"/>
                <w:szCs w:val="20"/>
                <w:color w:val="auto"/>
              </w:rPr>
            </w:pPr>
            <w:r>
              <w:rPr>
                <w:rFonts w:ascii="Arial" w:cs="Arial" w:eastAsia="Arial" w:hAnsi="Arial"/>
                <w:sz w:val="14"/>
                <w:szCs w:val="14"/>
                <w:color w:val="auto"/>
              </w:rPr>
              <w:t>15</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1480" w:type="dxa"/>
            <w:vAlign w:val="bottom"/>
            <w:shd w:val="clear" w:color="auto" w:fill="CCEEFF"/>
          </w:tcPr>
          <w:p>
            <w:pPr>
              <w:spacing w:after="0"/>
              <w:rPr>
                <w:sz w:val="16"/>
                <w:szCs w:val="16"/>
                <w:color w:val="auto"/>
              </w:rPr>
            </w:pPr>
          </w:p>
        </w:tc>
        <w:tc>
          <w:tcPr>
            <w:tcW w:w="2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8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398</w:t>
            </w:r>
          </w:p>
        </w:tc>
        <w:tc>
          <w:tcPr>
            <w:tcW w:w="0" w:type="dxa"/>
            <w:vAlign w:val="bottom"/>
          </w:tcPr>
          <w:p>
            <w:pPr>
              <w:spacing w:after="0"/>
              <w:rPr>
                <w:sz w:val="1"/>
                <w:szCs w:val="1"/>
                <w:color w:val="auto"/>
              </w:rPr>
            </w:pPr>
          </w:p>
        </w:tc>
      </w:tr>
      <w:tr>
        <w:trPr>
          <w:trHeight w:val="185"/>
        </w:trPr>
        <w:tc>
          <w:tcPr>
            <w:tcW w:w="3620" w:type="dxa"/>
            <w:vAlign w:val="bottom"/>
            <w:tcBorders>
              <w:bottom w:val="single" w:sz="8" w:color="CCEEFF"/>
            </w:tcBorders>
          </w:tcPr>
          <w:p>
            <w:pPr>
              <w:ind w:left="180"/>
              <w:spacing w:after="0"/>
              <w:rPr>
                <w:sz w:val="20"/>
                <w:szCs w:val="20"/>
                <w:color w:val="auto"/>
              </w:rPr>
            </w:pPr>
            <w:r>
              <w:rPr>
                <w:rFonts w:ascii="Arial" w:cs="Arial" w:eastAsia="Arial" w:hAnsi="Arial"/>
                <w:sz w:val="14"/>
                <w:szCs w:val="14"/>
                <w:color w:val="auto"/>
              </w:rPr>
              <w:t>Other Americas</w:t>
            </w:r>
          </w:p>
        </w:tc>
        <w:tc>
          <w:tcPr>
            <w:tcW w:w="120" w:type="dxa"/>
            <w:vAlign w:val="bottom"/>
            <w:tcBorders>
              <w:bottom w:val="single" w:sz="8" w:color="auto"/>
            </w:tcBorders>
          </w:tcPr>
          <w:p>
            <w:pPr>
              <w:spacing w:after="0"/>
              <w:rPr>
                <w:sz w:val="16"/>
                <w:szCs w:val="16"/>
                <w:color w:val="auto"/>
              </w:rPr>
            </w:pPr>
          </w:p>
        </w:tc>
        <w:tc>
          <w:tcPr>
            <w:tcW w:w="1440" w:type="dxa"/>
            <w:vAlign w:val="bottom"/>
            <w:tcBorders>
              <w:bottom w:val="single" w:sz="8" w:color="auto"/>
            </w:tcBorders>
          </w:tcPr>
          <w:p>
            <w:pPr>
              <w:jc w:val="right"/>
              <w:ind w:right="11"/>
              <w:spacing w:after="0"/>
              <w:rPr>
                <w:sz w:val="20"/>
                <w:szCs w:val="20"/>
                <w:color w:val="auto"/>
              </w:rPr>
            </w:pPr>
            <w:r>
              <w:rPr>
                <w:rFonts w:ascii="Arial" w:cs="Arial" w:eastAsia="Arial" w:hAnsi="Arial"/>
                <w:sz w:val="14"/>
                <w:szCs w:val="14"/>
                <w:color w:val="auto"/>
              </w:rPr>
              <w:t>97</w:t>
            </w:r>
          </w:p>
        </w:tc>
        <w:tc>
          <w:tcPr>
            <w:tcW w:w="80" w:type="dxa"/>
            <w:vAlign w:val="bottom"/>
            <w:tcBorders>
              <w:bottom w:val="single" w:sz="8" w:color="CCEEFF"/>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11</w:t>
            </w:r>
          </w:p>
        </w:tc>
        <w:tc>
          <w:tcPr>
            <w:tcW w:w="860" w:type="dxa"/>
            <w:vAlign w:val="bottom"/>
            <w:tcBorders>
              <w:bottom w:val="single" w:sz="8" w:color="CCEEFF"/>
            </w:tcBorders>
            <w:gridSpan w:val="2"/>
          </w:tcPr>
          <w:p>
            <w:pPr>
              <w:jc w:val="right"/>
              <w:ind w:right="40"/>
              <w:spacing w:after="0"/>
              <w:rPr>
                <w:sz w:val="20"/>
                <w:szCs w:val="20"/>
                <w:color w:val="auto"/>
              </w:rPr>
            </w:pPr>
            <w:r>
              <w:rPr>
                <w:rFonts w:ascii="Arial" w:cs="Arial" w:eastAsia="Arial" w:hAnsi="Arial"/>
                <w:sz w:val="14"/>
                <w:szCs w:val="14"/>
                <w:color w:val="auto"/>
              </w:rPr>
              <w:t>13</w:t>
            </w:r>
          </w:p>
        </w:tc>
        <w:tc>
          <w:tcPr>
            <w:tcW w:w="160" w:type="dxa"/>
            <w:vAlign w:val="bottom"/>
            <w:tcBorders>
              <w:bottom w:val="single" w:sz="8" w:color="CCEEFF"/>
            </w:tcBorders>
          </w:tcPr>
          <w:p>
            <w:pPr>
              <w:jc w:val="right"/>
              <w:spacing w:after="0"/>
              <w:rPr>
                <w:sz w:val="20"/>
                <w:szCs w:val="20"/>
                <w:color w:val="auto"/>
              </w:rPr>
            </w:pPr>
            <w:r>
              <w:rPr>
                <w:rFonts w:ascii="Arial" w:cs="Arial" w:eastAsia="Arial" w:hAnsi="Arial"/>
                <w:sz w:val="14"/>
                <w:szCs w:val="14"/>
                <w:color w:val="auto"/>
              </w:rPr>
              <w:t>%</w:t>
            </w:r>
          </w:p>
        </w:tc>
        <w:tc>
          <w:tcPr>
            <w:tcW w:w="100" w:type="dxa"/>
            <w:vAlign w:val="bottom"/>
            <w:tcBorders>
              <w:bottom w:val="single" w:sz="8" w:color="CCEEFF"/>
            </w:tcBorders>
          </w:tcPr>
          <w:p>
            <w:pPr>
              <w:spacing w:after="0"/>
              <w:rPr>
                <w:sz w:val="16"/>
                <w:szCs w:val="16"/>
                <w:color w:val="auto"/>
              </w:rPr>
            </w:pPr>
          </w:p>
        </w:tc>
        <w:tc>
          <w:tcPr>
            <w:tcW w:w="1480" w:type="dxa"/>
            <w:vAlign w:val="bottom"/>
            <w:tcBorders>
              <w:bottom w:val="single" w:sz="8" w:color="CCEEFF"/>
            </w:tcBorders>
          </w:tcPr>
          <w:p>
            <w:pPr>
              <w:spacing w:after="0"/>
              <w:rPr>
                <w:sz w:val="16"/>
                <w:szCs w:val="16"/>
                <w:color w:val="auto"/>
              </w:rPr>
            </w:pPr>
          </w:p>
        </w:tc>
        <w:tc>
          <w:tcPr>
            <w:tcW w:w="240" w:type="dxa"/>
            <w:vAlign w:val="bottom"/>
            <w:tcBorders>
              <w:bottom w:val="single" w:sz="8" w:color="CCEEFF"/>
            </w:tcBorders>
          </w:tcPr>
          <w:p>
            <w:pPr>
              <w:jc w:val="right"/>
              <w:spacing w:after="0"/>
              <w:rPr>
                <w:sz w:val="20"/>
                <w:szCs w:val="20"/>
                <w:color w:val="auto"/>
              </w:rPr>
            </w:pPr>
            <w:r>
              <w:rPr>
                <w:rFonts w:ascii="Arial" w:cs="Arial" w:eastAsia="Arial" w:hAnsi="Arial"/>
                <w:sz w:val="14"/>
                <w:szCs w:val="14"/>
                <w:color w:val="auto"/>
              </w:rPr>
              <w:t>*</w:t>
            </w:r>
          </w:p>
        </w:tc>
        <w:tc>
          <w:tcPr>
            <w:tcW w:w="80" w:type="dxa"/>
            <w:vAlign w:val="bottom"/>
            <w:tcBorders>
              <w:bottom w:val="single" w:sz="8" w:color="CCEEFF"/>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86</w:t>
            </w:r>
          </w:p>
        </w:tc>
        <w:tc>
          <w:tcPr>
            <w:tcW w:w="0" w:type="dxa"/>
            <w:vAlign w:val="bottom"/>
          </w:tcPr>
          <w:p>
            <w:pPr>
              <w:spacing w:after="0"/>
              <w:rPr>
                <w:sz w:val="1"/>
                <w:szCs w:val="1"/>
                <w:color w:val="auto"/>
              </w:rPr>
            </w:pPr>
          </w:p>
        </w:tc>
      </w:tr>
      <w:tr>
        <w:trPr>
          <w:trHeight w:val="182"/>
        </w:trPr>
        <w:tc>
          <w:tcPr>
            <w:tcW w:w="3620" w:type="dxa"/>
            <w:vAlign w:val="bottom"/>
            <w:shd w:val="clear" w:color="auto" w:fill="CCEEFF"/>
          </w:tcPr>
          <w:p>
            <w:pPr>
              <w:ind w:left="300"/>
              <w:spacing w:after="0"/>
              <w:rPr>
                <w:sz w:val="20"/>
                <w:szCs w:val="20"/>
                <w:color w:val="auto"/>
              </w:rPr>
            </w:pPr>
            <w:r>
              <w:rPr>
                <w:rFonts w:ascii="Arial" w:cs="Arial" w:eastAsia="Arial" w:hAnsi="Arial"/>
                <w:sz w:val="14"/>
                <w:szCs w:val="14"/>
                <w:color w:val="auto"/>
              </w:rPr>
              <w:t>Total Americas</w:t>
            </w:r>
          </w:p>
        </w:tc>
        <w:tc>
          <w:tcPr>
            <w:tcW w:w="120" w:type="dxa"/>
            <w:vAlign w:val="bottom"/>
            <w:shd w:val="clear" w:color="auto" w:fill="CCEEFF"/>
          </w:tcPr>
          <w:p>
            <w:pPr>
              <w:spacing w:after="0"/>
              <w:rPr>
                <w:sz w:val="15"/>
                <w:szCs w:val="15"/>
                <w:color w:val="auto"/>
              </w:rPr>
            </w:pPr>
          </w:p>
        </w:tc>
        <w:tc>
          <w:tcPr>
            <w:tcW w:w="14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553</w:t>
            </w:r>
          </w:p>
        </w:tc>
        <w:tc>
          <w:tcPr>
            <w:tcW w:w="80" w:type="dxa"/>
            <w:vAlign w:val="bottom"/>
            <w:shd w:val="clear" w:color="auto" w:fill="CCEEFF"/>
          </w:tcPr>
          <w:p>
            <w:pPr>
              <w:spacing w:after="0"/>
              <w:rPr>
                <w:sz w:val="15"/>
                <w:szCs w:val="15"/>
                <w:color w:val="auto"/>
              </w:rPr>
            </w:pPr>
          </w:p>
        </w:tc>
        <w:tc>
          <w:tcPr>
            <w:tcW w:w="180" w:type="dxa"/>
            <w:vAlign w:val="bottom"/>
            <w:shd w:val="clear" w:color="auto" w:fill="CCEEFF"/>
          </w:tcPr>
          <w:p>
            <w:pPr>
              <w:spacing w:after="0"/>
              <w:rPr>
                <w:sz w:val="15"/>
                <w:szCs w:val="15"/>
                <w:color w:val="auto"/>
              </w:rPr>
            </w:pPr>
          </w:p>
        </w:tc>
        <w:tc>
          <w:tcPr>
            <w:tcW w:w="5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69</w:t>
            </w:r>
          </w:p>
        </w:tc>
        <w:tc>
          <w:tcPr>
            <w:tcW w:w="860" w:type="dxa"/>
            <w:vAlign w:val="bottom"/>
            <w:gridSpan w:val="2"/>
            <w:shd w:val="clear" w:color="auto" w:fill="CCEEFF"/>
          </w:tcPr>
          <w:p>
            <w:pPr>
              <w:jc w:val="right"/>
              <w:ind w:right="40"/>
              <w:spacing w:after="0"/>
              <w:rPr>
                <w:sz w:val="20"/>
                <w:szCs w:val="20"/>
                <w:color w:val="auto"/>
              </w:rPr>
            </w:pPr>
            <w:r>
              <w:rPr>
                <w:rFonts w:ascii="Arial" w:cs="Arial" w:eastAsia="Arial" w:hAnsi="Arial"/>
                <w:sz w:val="14"/>
                <w:szCs w:val="14"/>
                <w:color w:val="auto"/>
              </w:rPr>
              <w:t>14</w:t>
            </w:r>
          </w:p>
        </w:tc>
        <w:tc>
          <w:tcPr>
            <w:tcW w:w="1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1580" w:type="dxa"/>
            <w:vAlign w:val="bottom"/>
            <w:gridSpan w:val="2"/>
            <w:shd w:val="clear" w:color="auto" w:fill="CCEEFF"/>
          </w:tcPr>
          <w:p>
            <w:pPr>
              <w:jc w:val="right"/>
              <w:ind w:right="16"/>
              <w:spacing w:after="0"/>
              <w:rPr>
                <w:sz w:val="20"/>
                <w:szCs w:val="20"/>
                <w:color w:val="auto"/>
              </w:rPr>
            </w:pPr>
            <w:r>
              <w:rPr>
                <w:rFonts w:ascii="Arial" w:cs="Arial" w:eastAsia="Arial" w:hAnsi="Arial"/>
                <w:sz w:val="14"/>
                <w:szCs w:val="14"/>
                <w:color w:val="auto"/>
              </w:rPr>
              <w:t>14</w:t>
            </w:r>
          </w:p>
        </w:tc>
        <w:tc>
          <w:tcPr>
            <w:tcW w:w="2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484</w:t>
            </w:r>
          </w:p>
        </w:tc>
        <w:tc>
          <w:tcPr>
            <w:tcW w:w="0" w:type="dxa"/>
            <w:vAlign w:val="bottom"/>
          </w:tcPr>
          <w:p>
            <w:pPr>
              <w:spacing w:after="0"/>
              <w:rPr>
                <w:sz w:val="1"/>
                <w:szCs w:val="1"/>
                <w:color w:val="auto"/>
              </w:rPr>
            </w:pPr>
          </w:p>
        </w:tc>
      </w:tr>
      <w:tr>
        <w:trPr>
          <w:trHeight w:val="185"/>
        </w:trPr>
        <w:tc>
          <w:tcPr>
            <w:tcW w:w="3620" w:type="dxa"/>
            <w:vAlign w:val="bottom"/>
          </w:tcPr>
          <w:p>
            <w:pPr>
              <w:ind w:left="120"/>
              <w:spacing w:after="0"/>
              <w:rPr>
                <w:sz w:val="20"/>
                <w:szCs w:val="20"/>
                <w:color w:val="auto"/>
              </w:rPr>
            </w:pPr>
            <w:r>
              <w:rPr>
                <w:rFonts w:ascii="Arial" w:cs="Arial" w:eastAsia="Arial" w:hAnsi="Arial"/>
                <w:sz w:val="14"/>
                <w:szCs w:val="14"/>
                <w:color w:val="auto"/>
              </w:rPr>
              <w:t>EMEA</w:t>
            </w:r>
          </w:p>
        </w:tc>
        <w:tc>
          <w:tcPr>
            <w:tcW w:w="120" w:type="dxa"/>
            <w:vAlign w:val="bottom"/>
          </w:tcPr>
          <w:p>
            <w:pPr>
              <w:spacing w:after="0"/>
              <w:rPr>
                <w:sz w:val="16"/>
                <w:szCs w:val="16"/>
                <w:color w:val="auto"/>
              </w:rPr>
            </w:pPr>
          </w:p>
        </w:tc>
        <w:tc>
          <w:tcPr>
            <w:tcW w:w="1440" w:type="dxa"/>
            <w:vAlign w:val="bottom"/>
          </w:tcPr>
          <w:p>
            <w:pPr>
              <w:jc w:val="right"/>
              <w:spacing w:after="0"/>
              <w:rPr>
                <w:sz w:val="20"/>
                <w:szCs w:val="20"/>
                <w:color w:val="auto"/>
              </w:rPr>
            </w:pPr>
            <w:r>
              <w:rPr>
                <w:rFonts w:ascii="Arial" w:cs="Arial" w:eastAsia="Arial" w:hAnsi="Arial"/>
                <w:sz w:val="14"/>
                <w:szCs w:val="14"/>
                <w:color w:val="auto"/>
              </w:rPr>
              <w:t>474</w:t>
            </w:r>
          </w:p>
        </w:tc>
        <w:tc>
          <w:tcPr>
            <w:tcW w:w="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Arial" w:cs="Arial" w:eastAsia="Arial" w:hAnsi="Arial"/>
                <w:sz w:val="14"/>
                <w:szCs w:val="14"/>
                <w:color w:val="auto"/>
              </w:rPr>
              <w:t>25</w:t>
            </w:r>
          </w:p>
        </w:tc>
        <w:tc>
          <w:tcPr>
            <w:tcW w:w="1020" w:type="dxa"/>
            <w:vAlign w:val="bottom"/>
            <w:gridSpan w:val="3"/>
          </w:tcPr>
          <w:p>
            <w:pPr>
              <w:jc w:val="right"/>
              <w:spacing w:after="0"/>
              <w:rPr>
                <w:sz w:val="20"/>
                <w:szCs w:val="20"/>
                <w:color w:val="auto"/>
              </w:rPr>
            </w:pPr>
            <w:r>
              <w:rPr>
                <w:rFonts w:ascii="Arial" w:cs="Arial" w:eastAsia="Arial" w:hAnsi="Arial"/>
                <w:sz w:val="14"/>
                <w:szCs w:val="14"/>
                <w:color w:val="auto"/>
              </w:rPr>
              <w:t>6 %</w:t>
            </w:r>
          </w:p>
        </w:tc>
        <w:tc>
          <w:tcPr>
            <w:tcW w:w="1580" w:type="dxa"/>
            <w:vAlign w:val="bottom"/>
            <w:gridSpan w:val="2"/>
          </w:tcPr>
          <w:p>
            <w:pPr>
              <w:jc w:val="right"/>
              <w:ind w:right="16"/>
              <w:spacing w:after="0"/>
              <w:rPr>
                <w:sz w:val="20"/>
                <w:szCs w:val="20"/>
                <w:color w:val="auto"/>
              </w:rPr>
            </w:pPr>
            <w:r>
              <w:rPr>
                <w:rFonts w:ascii="Arial" w:cs="Arial" w:eastAsia="Arial" w:hAnsi="Arial"/>
                <w:sz w:val="14"/>
                <w:szCs w:val="14"/>
                <w:color w:val="auto"/>
              </w:rPr>
              <w:t>11</w:t>
            </w:r>
          </w:p>
        </w:tc>
        <w:tc>
          <w:tcPr>
            <w:tcW w:w="240" w:type="dxa"/>
            <w:vAlign w:val="bottom"/>
          </w:tcPr>
          <w:p>
            <w:pPr>
              <w:jc w:val="right"/>
              <w:spacing w:after="0"/>
              <w:rPr>
                <w:sz w:val="20"/>
                <w:szCs w:val="20"/>
                <w:color w:val="auto"/>
              </w:rPr>
            </w:pPr>
            <w:r>
              <w:rPr>
                <w:rFonts w:ascii="Arial" w:cs="Arial" w:eastAsia="Arial" w:hAnsi="Arial"/>
                <w:sz w:val="14"/>
                <w:szCs w:val="14"/>
                <w:color w:val="auto"/>
              </w:rPr>
              <w:t>%</w:t>
            </w:r>
          </w:p>
        </w:tc>
        <w:tc>
          <w:tcPr>
            <w:tcW w:w="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360" w:type="dxa"/>
            <w:vAlign w:val="bottom"/>
          </w:tcPr>
          <w:p>
            <w:pPr>
              <w:jc w:val="right"/>
              <w:spacing w:after="0"/>
              <w:rPr>
                <w:sz w:val="20"/>
                <w:szCs w:val="20"/>
                <w:color w:val="auto"/>
              </w:rPr>
            </w:pPr>
            <w:r>
              <w:rPr>
                <w:rFonts w:ascii="Arial" w:cs="Arial" w:eastAsia="Arial" w:hAnsi="Arial"/>
                <w:sz w:val="14"/>
                <w:szCs w:val="14"/>
                <w:color w:val="auto"/>
              </w:rPr>
              <w:t>449</w:t>
            </w:r>
          </w:p>
        </w:tc>
        <w:tc>
          <w:tcPr>
            <w:tcW w:w="0" w:type="dxa"/>
            <w:vAlign w:val="bottom"/>
          </w:tcPr>
          <w:p>
            <w:pPr>
              <w:spacing w:after="0"/>
              <w:rPr>
                <w:sz w:val="1"/>
                <w:szCs w:val="1"/>
                <w:color w:val="auto"/>
              </w:rPr>
            </w:pPr>
          </w:p>
        </w:tc>
      </w:tr>
      <w:tr>
        <w:trPr>
          <w:trHeight w:val="190"/>
        </w:trPr>
        <w:tc>
          <w:tcPr>
            <w:tcW w:w="3620" w:type="dxa"/>
            <w:vAlign w:val="bottom"/>
            <w:shd w:val="clear" w:color="auto" w:fill="CCEEFF"/>
          </w:tcPr>
          <w:p>
            <w:pPr>
              <w:ind w:left="120"/>
              <w:spacing w:after="0"/>
              <w:rPr>
                <w:sz w:val="20"/>
                <w:szCs w:val="20"/>
                <w:color w:val="auto"/>
              </w:rPr>
            </w:pPr>
            <w:r>
              <w:rPr>
                <w:rFonts w:ascii="Arial" w:cs="Arial" w:eastAsia="Arial" w:hAnsi="Arial"/>
                <w:sz w:val="14"/>
                <w:szCs w:val="14"/>
                <w:color w:val="auto"/>
              </w:rPr>
              <w:t>APAC</w:t>
            </w:r>
          </w:p>
        </w:tc>
        <w:tc>
          <w:tcPr>
            <w:tcW w:w="120" w:type="dxa"/>
            <w:vAlign w:val="bottom"/>
            <w:tcBorders>
              <w:bottom w:val="single" w:sz="8" w:color="auto"/>
            </w:tcBorders>
            <w:shd w:val="clear" w:color="auto" w:fill="CCEEFF"/>
          </w:tcPr>
          <w:p>
            <w:pPr>
              <w:spacing w:after="0"/>
              <w:rPr>
                <w:sz w:val="16"/>
                <w:szCs w:val="16"/>
                <w:color w:val="auto"/>
              </w:rPr>
            </w:pPr>
          </w:p>
        </w:tc>
        <w:tc>
          <w:tcPr>
            <w:tcW w:w="14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242</w:t>
            </w:r>
          </w:p>
        </w:tc>
        <w:tc>
          <w:tcPr>
            <w:tcW w:w="80" w:type="dxa"/>
            <w:vAlign w:val="bottom"/>
            <w:shd w:val="clear" w:color="auto" w:fill="CCEEFF"/>
          </w:tcPr>
          <w:p>
            <w:pPr>
              <w:spacing w:after="0"/>
              <w:rPr>
                <w:sz w:val="16"/>
                <w:szCs w:val="16"/>
                <w:color w:val="auto"/>
              </w:rPr>
            </w:pPr>
          </w:p>
        </w:tc>
        <w:tc>
          <w:tcPr>
            <w:tcW w:w="180" w:type="dxa"/>
            <w:vAlign w:val="bottom"/>
            <w:tcBorders>
              <w:bottom w:val="single" w:sz="8" w:color="auto"/>
            </w:tcBorders>
            <w:shd w:val="clear" w:color="auto" w:fill="CCEEFF"/>
          </w:tcPr>
          <w:p>
            <w:pPr>
              <w:spacing w:after="0"/>
              <w:rPr>
                <w:sz w:val="16"/>
                <w:szCs w:val="16"/>
                <w:color w:val="auto"/>
              </w:rPr>
            </w:pPr>
          </w:p>
        </w:tc>
        <w:tc>
          <w:tcPr>
            <w:tcW w:w="5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5</w:t>
            </w:r>
          </w:p>
        </w:tc>
        <w:tc>
          <w:tcPr>
            <w:tcW w:w="1020" w:type="dxa"/>
            <w:vAlign w:val="bottom"/>
            <w:gridSpan w:val="3"/>
            <w:shd w:val="clear" w:color="auto" w:fill="CCEEFF"/>
          </w:tcPr>
          <w:p>
            <w:pPr>
              <w:jc w:val="right"/>
              <w:spacing w:after="0"/>
              <w:rPr>
                <w:sz w:val="20"/>
                <w:szCs w:val="20"/>
                <w:color w:val="auto"/>
              </w:rPr>
            </w:pPr>
            <w:r>
              <w:rPr>
                <w:rFonts w:ascii="Arial" w:cs="Arial" w:eastAsia="Arial" w:hAnsi="Arial"/>
                <w:sz w:val="14"/>
                <w:szCs w:val="14"/>
                <w:color w:val="auto"/>
              </w:rPr>
              <w:t>2 %</w:t>
            </w:r>
          </w:p>
        </w:tc>
        <w:tc>
          <w:tcPr>
            <w:tcW w:w="1580" w:type="dxa"/>
            <w:vAlign w:val="bottom"/>
            <w:gridSpan w:val="2"/>
            <w:shd w:val="clear" w:color="auto" w:fill="CCEEFF"/>
          </w:tcPr>
          <w:p>
            <w:pPr>
              <w:jc w:val="right"/>
              <w:ind w:right="16"/>
              <w:spacing w:after="0"/>
              <w:rPr>
                <w:sz w:val="20"/>
                <w:szCs w:val="20"/>
                <w:color w:val="auto"/>
              </w:rPr>
            </w:pPr>
            <w:r>
              <w:rPr>
                <w:rFonts w:ascii="Arial" w:cs="Arial" w:eastAsia="Arial" w:hAnsi="Arial"/>
                <w:sz w:val="14"/>
                <w:szCs w:val="14"/>
                <w:color w:val="auto"/>
              </w:rPr>
              <w:t>8</w:t>
            </w:r>
          </w:p>
        </w:tc>
        <w:tc>
          <w:tcPr>
            <w:tcW w:w="2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6"/>
                <w:szCs w:val="16"/>
                <w:color w:val="auto"/>
              </w:rPr>
            </w:pPr>
          </w:p>
        </w:tc>
        <w:tc>
          <w:tcPr>
            <w:tcW w:w="100" w:type="dxa"/>
            <w:vAlign w:val="bottom"/>
            <w:tcBorders>
              <w:bottom w:val="single" w:sz="8" w:color="auto"/>
            </w:tcBorders>
            <w:shd w:val="clear" w:color="auto" w:fill="CCEEFF"/>
          </w:tcPr>
          <w:p>
            <w:pPr>
              <w:spacing w:after="0"/>
              <w:rPr>
                <w:sz w:val="16"/>
                <w:szCs w:val="16"/>
                <w:color w:val="auto"/>
              </w:rPr>
            </w:pPr>
          </w:p>
        </w:tc>
        <w:tc>
          <w:tcPr>
            <w:tcW w:w="1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237</w:t>
            </w:r>
          </w:p>
        </w:tc>
        <w:tc>
          <w:tcPr>
            <w:tcW w:w="0" w:type="dxa"/>
            <w:vAlign w:val="bottom"/>
          </w:tcPr>
          <w:p>
            <w:pPr>
              <w:spacing w:after="0"/>
              <w:rPr>
                <w:sz w:val="1"/>
                <w:szCs w:val="1"/>
                <w:color w:val="auto"/>
              </w:rPr>
            </w:pPr>
          </w:p>
        </w:tc>
      </w:tr>
      <w:tr>
        <w:trPr>
          <w:trHeight w:val="179"/>
        </w:trPr>
        <w:tc>
          <w:tcPr>
            <w:tcW w:w="3620" w:type="dxa"/>
            <w:vAlign w:val="bottom"/>
          </w:tcPr>
          <w:p>
            <w:pPr>
              <w:spacing w:after="0"/>
              <w:rPr>
                <w:sz w:val="20"/>
                <w:szCs w:val="20"/>
                <w:color w:val="auto"/>
              </w:rPr>
            </w:pPr>
            <w:r>
              <w:rPr>
                <w:rFonts w:ascii="Arial" w:cs="Arial" w:eastAsia="Arial" w:hAnsi="Arial"/>
                <w:sz w:val="14"/>
                <w:szCs w:val="14"/>
                <w:color w:val="auto"/>
              </w:rPr>
              <w:t>Total Net Revenue</w:t>
            </w: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1440" w:type="dxa"/>
            <w:vAlign w:val="bottom"/>
          </w:tcPr>
          <w:p>
            <w:pPr>
              <w:jc w:val="right"/>
              <w:spacing w:after="0"/>
              <w:rPr>
                <w:sz w:val="20"/>
                <w:szCs w:val="20"/>
                <w:color w:val="auto"/>
              </w:rPr>
            </w:pPr>
            <w:r>
              <w:rPr>
                <w:rFonts w:ascii="Arial" w:cs="Arial" w:eastAsia="Arial" w:hAnsi="Arial"/>
                <w:sz w:val="14"/>
                <w:szCs w:val="14"/>
                <w:color w:val="auto"/>
              </w:rPr>
              <w:t>1,269</w:t>
            </w:r>
          </w:p>
        </w:tc>
        <w:tc>
          <w:tcPr>
            <w:tcW w:w="80" w:type="dxa"/>
            <w:vAlign w:val="bottom"/>
          </w:tcPr>
          <w:p>
            <w:pPr>
              <w:spacing w:after="0"/>
              <w:rPr>
                <w:sz w:val="15"/>
                <w:szCs w:val="15"/>
                <w:color w:val="auto"/>
              </w:rPr>
            </w:pPr>
          </w:p>
        </w:tc>
        <w:tc>
          <w:tcPr>
            <w:tcW w:w="180" w:type="dxa"/>
            <w:vAlign w:val="bottom"/>
          </w:tcPr>
          <w:p>
            <w:pPr>
              <w:jc w:val="right"/>
              <w:ind w:right="10"/>
              <w:spacing w:after="0"/>
              <w:rPr>
                <w:sz w:val="20"/>
                <w:szCs w:val="20"/>
                <w:color w:val="auto"/>
              </w:rPr>
            </w:pPr>
            <w:r>
              <w:rPr>
                <w:rFonts w:ascii="Arial" w:cs="Arial" w:eastAsia="Arial" w:hAnsi="Arial"/>
                <w:sz w:val="14"/>
                <w:szCs w:val="14"/>
                <w:color w:val="auto"/>
              </w:rPr>
              <w:t>$</w:t>
            </w:r>
          </w:p>
        </w:tc>
        <w:tc>
          <w:tcPr>
            <w:tcW w:w="560" w:type="dxa"/>
            <w:vAlign w:val="bottom"/>
          </w:tcPr>
          <w:p>
            <w:pPr>
              <w:jc w:val="right"/>
              <w:spacing w:after="0"/>
              <w:rPr>
                <w:sz w:val="20"/>
                <w:szCs w:val="20"/>
                <w:color w:val="auto"/>
              </w:rPr>
            </w:pPr>
            <w:r>
              <w:rPr>
                <w:rFonts w:ascii="Arial" w:cs="Arial" w:eastAsia="Arial" w:hAnsi="Arial"/>
                <w:sz w:val="14"/>
                <w:szCs w:val="14"/>
                <w:color w:val="auto"/>
              </w:rPr>
              <w:t>99</w:t>
            </w:r>
          </w:p>
        </w:tc>
        <w:tc>
          <w:tcPr>
            <w:tcW w:w="860" w:type="dxa"/>
            <w:vAlign w:val="bottom"/>
            <w:gridSpan w:val="2"/>
          </w:tcPr>
          <w:p>
            <w:pPr>
              <w:jc w:val="right"/>
              <w:ind w:right="40"/>
              <w:spacing w:after="0"/>
              <w:rPr>
                <w:sz w:val="20"/>
                <w:szCs w:val="20"/>
                <w:color w:val="auto"/>
              </w:rPr>
            </w:pPr>
            <w:r>
              <w:rPr>
                <w:rFonts w:ascii="Arial" w:cs="Arial" w:eastAsia="Arial" w:hAnsi="Arial"/>
                <w:sz w:val="14"/>
                <w:szCs w:val="14"/>
                <w:color w:val="auto"/>
              </w:rPr>
              <w:t>8</w:t>
            </w:r>
          </w:p>
        </w:tc>
        <w:tc>
          <w:tcPr>
            <w:tcW w:w="160" w:type="dxa"/>
            <w:vAlign w:val="bottom"/>
          </w:tcPr>
          <w:p>
            <w:pPr>
              <w:jc w:val="right"/>
              <w:spacing w:after="0"/>
              <w:rPr>
                <w:sz w:val="20"/>
                <w:szCs w:val="20"/>
                <w:color w:val="auto"/>
              </w:rPr>
            </w:pPr>
            <w:r>
              <w:rPr>
                <w:rFonts w:ascii="Arial" w:cs="Arial" w:eastAsia="Arial" w:hAnsi="Arial"/>
                <w:sz w:val="14"/>
                <w:szCs w:val="14"/>
                <w:color w:val="auto"/>
              </w:rPr>
              <w:t>%</w:t>
            </w:r>
          </w:p>
        </w:tc>
        <w:tc>
          <w:tcPr>
            <w:tcW w:w="1580" w:type="dxa"/>
            <w:vAlign w:val="bottom"/>
            <w:gridSpan w:val="2"/>
          </w:tcPr>
          <w:p>
            <w:pPr>
              <w:jc w:val="right"/>
              <w:ind w:right="16"/>
              <w:spacing w:after="0"/>
              <w:rPr>
                <w:sz w:val="20"/>
                <w:szCs w:val="20"/>
                <w:color w:val="auto"/>
              </w:rPr>
            </w:pPr>
            <w:r>
              <w:rPr>
                <w:rFonts w:ascii="Arial" w:cs="Arial" w:eastAsia="Arial" w:hAnsi="Arial"/>
                <w:sz w:val="14"/>
                <w:szCs w:val="14"/>
                <w:color w:val="auto"/>
              </w:rPr>
              <w:t>12</w:t>
            </w:r>
          </w:p>
        </w:tc>
        <w:tc>
          <w:tcPr>
            <w:tcW w:w="240" w:type="dxa"/>
            <w:vAlign w:val="bottom"/>
          </w:tcPr>
          <w:p>
            <w:pPr>
              <w:jc w:val="right"/>
              <w:spacing w:after="0"/>
              <w:rPr>
                <w:sz w:val="20"/>
                <w:szCs w:val="20"/>
                <w:color w:val="auto"/>
              </w:rPr>
            </w:pPr>
            <w:r>
              <w:rPr>
                <w:rFonts w:ascii="Arial" w:cs="Arial" w:eastAsia="Arial" w:hAnsi="Arial"/>
                <w:sz w:val="14"/>
                <w:szCs w:val="14"/>
                <w:color w:val="auto"/>
              </w:rPr>
              <w:t>%</w:t>
            </w:r>
          </w:p>
        </w:tc>
        <w:tc>
          <w:tcPr>
            <w:tcW w:w="180" w:type="dxa"/>
            <w:vAlign w:val="bottom"/>
            <w:gridSpan w:val="2"/>
          </w:tcPr>
          <w:p>
            <w:pPr>
              <w:jc w:val="right"/>
              <w:spacing w:after="0"/>
              <w:rPr>
                <w:sz w:val="20"/>
                <w:szCs w:val="20"/>
                <w:color w:val="auto"/>
              </w:rPr>
            </w:pPr>
            <w:r>
              <w:rPr>
                <w:rFonts w:ascii="Arial" w:cs="Arial" w:eastAsia="Arial" w:hAnsi="Arial"/>
                <w:sz w:val="14"/>
                <w:szCs w:val="14"/>
                <w:color w:val="auto"/>
              </w:rPr>
              <w:t>$</w:t>
            </w:r>
          </w:p>
        </w:tc>
        <w:tc>
          <w:tcPr>
            <w:tcW w:w="1360" w:type="dxa"/>
            <w:vAlign w:val="bottom"/>
          </w:tcPr>
          <w:p>
            <w:pPr>
              <w:jc w:val="right"/>
              <w:spacing w:after="0"/>
              <w:rPr>
                <w:sz w:val="20"/>
                <w:szCs w:val="20"/>
                <w:color w:val="auto"/>
              </w:rPr>
            </w:pPr>
            <w:r>
              <w:rPr>
                <w:rFonts w:ascii="Arial" w:cs="Arial" w:eastAsia="Arial" w:hAnsi="Arial"/>
                <w:sz w:val="14"/>
                <w:szCs w:val="14"/>
                <w:color w:val="auto"/>
              </w:rPr>
              <w:t>1,170</w:t>
            </w:r>
          </w:p>
        </w:tc>
        <w:tc>
          <w:tcPr>
            <w:tcW w:w="0" w:type="dxa"/>
            <w:vAlign w:val="bottom"/>
          </w:tcPr>
          <w:p>
            <w:pPr>
              <w:spacing w:after="0"/>
              <w:rPr>
                <w:sz w:val="1"/>
                <w:szCs w:val="1"/>
                <w:color w:val="auto"/>
              </w:rPr>
            </w:pPr>
          </w:p>
        </w:tc>
      </w:tr>
      <w:tr>
        <w:trPr>
          <w:trHeight w:val="20"/>
        </w:trPr>
        <w:tc>
          <w:tcPr>
            <w:tcW w:w="362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40"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spacing w:after="0"/>
        <w:rPr>
          <w:sz w:val="20"/>
          <w:szCs w:val="20"/>
          <w:color w:val="auto"/>
        </w:rPr>
      </w:pPr>
      <w:r>
        <w:rPr>
          <w:rFonts w:ascii="Arial" w:cs="Arial" w:eastAsia="Arial" w:hAnsi="Arial"/>
          <w:sz w:val="14"/>
          <w:szCs w:val="14"/>
          <w:color w:val="auto"/>
        </w:rPr>
        <w:t>* Constant currency data not provided at this level.</w:t>
      </w:r>
    </w:p>
    <w:p>
      <w:pPr>
        <w:spacing w:after="0" w:line="217" w:lineRule="exact"/>
        <w:rPr>
          <w:sz w:val="20"/>
          <w:szCs w:val="20"/>
          <w:color w:val="auto"/>
        </w:rPr>
      </w:pPr>
    </w:p>
    <w:p>
      <w:pPr>
        <w:ind w:right="160" w:firstLine="351"/>
        <w:spacing w:after="0" w:line="249" w:lineRule="auto"/>
        <w:rPr>
          <w:sz w:val="20"/>
          <w:szCs w:val="20"/>
          <w:color w:val="auto"/>
        </w:rPr>
      </w:pPr>
      <w:r>
        <w:rPr>
          <w:rFonts w:ascii="Arial" w:cs="Arial" w:eastAsia="Arial" w:hAnsi="Arial"/>
          <w:sz w:val="15"/>
          <w:szCs w:val="15"/>
          <w:color w:val="auto"/>
        </w:rPr>
        <w:t>We believe that international revenue will continue to comprise a majority of our net revenue. Unfavorable economic conditions, including in connection with the significant military action against Ukraine launched by Russia (and any related political or economic responses and counter-responses or otherwise by various global actors or the general effect on the global economy), in the countries that contribute a significant portion of our net revenue, including in emerging economies such as Brazil, India, and China, has had and may continue to have an adverse effect on our business in those countries and our overall financial performance. Changes in the value of the U.S. dollar relative to other currencies have significantly affected, and could continue to significantly affect, our financial results for a given period even though we hedge a portion of our current and projected revenue. Increases to the levels of political and economic unpredictability or protectionism in the global market may impact our future financial results.</w:t>
      </w: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ind w:right="80"/>
        <w:spacing w:after="0"/>
        <w:rPr>
          <w:sz w:val="20"/>
          <w:szCs w:val="20"/>
          <w:color w:val="auto"/>
        </w:rPr>
      </w:pPr>
      <w:r>
        <w:rPr>
          <w:rFonts w:ascii="Arial" w:cs="Arial" w:eastAsia="Arial" w:hAnsi="Arial"/>
          <w:sz w:val="15"/>
          <w:szCs w:val="15"/>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60"/>
          </w:cols>
          <w:pgMar w:left="660" w:top="1224" w:right="580" w:bottom="1440" w:gutter="0" w:footer="0" w:header="0"/>
        </w:sectPr>
      </w:pPr>
    </w:p>
    <w:bookmarkStart w:id="37" w:name="page38"/>
    <w:bookmarkEnd w:id="37"/>
    <w:p>
      <w:pPr>
        <w:ind w:left="220"/>
        <w:spacing w:after="0"/>
        <w:rPr>
          <w:sz w:val="20"/>
          <w:szCs w:val="20"/>
          <w:color w:val="auto"/>
        </w:rPr>
      </w:pPr>
      <w:r>
        <w:rPr>
          <w:rFonts w:ascii="Arial" w:cs="Arial" w:eastAsia="Arial" w:hAnsi="Arial"/>
          <w:sz w:val="15"/>
          <w:szCs w:val="15"/>
          <w:i w:val="1"/>
          <w:iCs w:val="1"/>
          <w:color w:val="auto"/>
        </w:rPr>
        <w:t>Net Revenue by Sales Channel</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31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80" w:type="dxa"/>
            <w:vAlign w:val="bottom"/>
            <w:vMerge w:val="restart"/>
          </w:tcPr>
          <w:p>
            <w:pPr>
              <w:jc w:val="center"/>
              <w:ind w:right="33"/>
              <w:spacing w:after="0"/>
              <w:rPr>
                <w:sz w:val="20"/>
                <w:szCs w:val="20"/>
                <w:color w:val="auto"/>
              </w:rPr>
            </w:pPr>
            <w:r>
              <w:rPr>
                <w:rFonts w:ascii="Arial" w:cs="Arial" w:eastAsia="Arial" w:hAnsi="Arial"/>
                <w:sz w:val="13"/>
                <w:szCs w:val="13"/>
                <w:b w:val="1"/>
                <w:bCs w:val="1"/>
                <w:color w:val="auto"/>
                <w:w w:val="98"/>
              </w:rPr>
              <w:t>Three Months</w:t>
            </w:r>
          </w:p>
        </w:tc>
        <w:tc>
          <w:tcPr>
            <w:tcW w:w="1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620" w:type="dxa"/>
            <w:vAlign w:val="bottom"/>
            <w:gridSpan w:val="3"/>
            <w:vMerge w:val="restart"/>
          </w:tcPr>
          <w:p>
            <w:pPr>
              <w:jc w:val="right"/>
              <w:ind w:right="160"/>
              <w:spacing w:after="0"/>
              <w:rPr>
                <w:sz w:val="20"/>
                <w:szCs w:val="20"/>
                <w:color w:val="auto"/>
              </w:rPr>
            </w:pPr>
            <w:r>
              <w:rPr>
                <w:rFonts w:ascii="Arial" w:cs="Arial" w:eastAsia="Arial" w:hAnsi="Arial"/>
                <w:sz w:val="13"/>
                <w:szCs w:val="13"/>
                <w:b w:val="1"/>
                <w:bCs w:val="1"/>
                <w:color w:val="auto"/>
              </w:rPr>
              <w:t>Change compared to</w:t>
            </w:r>
          </w:p>
        </w:tc>
        <w:tc>
          <w:tcPr>
            <w:tcW w:w="2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60" w:type="dxa"/>
            <w:vAlign w:val="bottom"/>
          </w:tcPr>
          <w:p>
            <w:pPr>
              <w:jc w:val="center"/>
              <w:ind w:right="33"/>
              <w:spacing w:after="0"/>
              <w:rPr>
                <w:sz w:val="20"/>
                <w:szCs w:val="20"/>
                <w:color w:val="auto"/>
              </w:rPr>
            </w:pPr>
            <w:r>
              <w:rPr>
                <w:rFonts w:ascii="Arial" w:cs="Arial" w:eastAsia="Arial" w:hAnsi="Arial"/>
                <w:sz w:val="13"/>
                <w:szCs w:val="13"/>
                <w:b w:val="1"/>
                <w:bCs w:val="1"/>
                <w:color w:val="auto"/>
              </w:rPr>
              <w:t>Three</w:t>
            </w:r>
          </w:p>
        </w:tc>
        <w:tc>
          <w:tcPr>
            <w:tcW w:w="100" w:type="dxa"/>
            <w:vAlign w:val="bottom"/>
          </w:tcPr>
          <w:p>
            <w:pPr>
              <w:spacing w:after="0"/>
              <w:rPr>
                <w:sz w:val="13"/>
                <w:szCs w:val="13"/>
                <w:color w:val="auto"/>
              </w:rPr>
            </w:pPr>
          </w:p>
        </w:tc>
        <w:tc>
          <w:tcPr>
            <w:tcW w:w="31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9"/>
        </w:trPr>
        <w:tc>
          <w:tcPr>
            <w:tcW w:w="31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80" w:type="dxa"/>
            <w:vAlign w:val="bottom"/>
            <w:vMerge w:val="continue"/>
          </w:tcPr>
          <w:p>
            <w:pPr>
              <w:spacing w:after="0"/>
              <w:rPr>
                <w:sz w:val="11"/>
                <w:szCs w:val="11"/>
                <w:color w:val="auto"/>
              </w:rPr>
            </w:pP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1620" w:type="dxa"/>
            <w:vAlign w:val="bottom"/>
            <w:gridSpan w:val="3"/>
            <w:vMerge w:val="continue"/>
          </w:tcPr>
          <w:p>
            <w:pPr>
              <w:spacing w:after="0"/>
              <w:rPr>
                <w:sz w:val="11"/>
                <w:szCs w:val="11"/>
                <w:color w:val="auto"/>
              </w:rPr>
            </w:pPr>
          </w:p>
        </w:tc>
        <w:tc>
          <w:tcPr>
            <w:tcW w:w="2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60" w:type="dxa"/>
            <w:vAlign w:val="bottom"/>
          </w:tcPr>
          <w:p>
            <w:pPr>
              <w:jc w:val="center"/>
              <w:ind w:right="33"/>
              <w:spacing w:after="0" w:line="129" w:lineRule="exact"/>
              <w:rPr>
                <w:sz w:val="20"/>
                <w:szCs w:val="20"/>
                <w:color w:val="auto"/>
              </w:rPr>
            </w:pPr>
            <w:r>
              <w:rPr>
                <w:rFonts w:ascii="Arial" w:cs="Arial" w:eastAsia="Arial" w:hAnsi="Arial"/>
                <w:sz w:val="13"/>
                <w:szCs w:val="13"/>
                <w:b w:val="1"/>
                <w:bCs w:val="1"/>
                <w:color w:val="auto"/>
                <w:w w:val="95"/>
              </w:rPr>
              <w:t>Months</w:t>
            </w:r>
          </w:p>
        </w:tc>
        <w:tc>
          <w:tcPr>
            <w:tcW w:w="100" w:type="dxa"/>
            <w:vAlign w:val="bottom"/>
          </w:tcPr>
          <w:p>
            <w:pPr>
              <w:spacing w:after="0"/>
              <w:rPr>
                <w:sz w:val="11"/>
                <w:szCs w:val="11"/>
                <w:color w:val="auto"/>
              </w:rPr>
            </w:pPr>
          </w:p>
        </w:tc>
        <w:tc>
          <w:tcPr>
            <w:tcW w:w="31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316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980" w:type="dxa"/>
            <w:vAlign w:val="bottom"/>
            <w:tcBorders>
              <w:bottom w:val="single" w:sz="8" w:color="auto"/>
            </w:tcBorders>
          </w:tcPr>
          <w:p>
            <w:pPr>
              <w:jc w:val="center"/>
              <w:ind w:right="33"/>
              <w:spacing w:after="0"/>
              <w:rPr>
                <w:sz w:val="20"/>
                <w:szCs w:val="20"/>
                <w:color w:val="auto"/>
              </w:rPr>
            </w:pPr>
            <w:r>
              <w:rPr>
                <w:rFonts w:ascii="Arial" w:cs="Arial" w:eastAsia="Arial" w:hAnsi="Arial"/>
                <w:sz w:val="13"/>
                <w:szCs w:val="13"/>
                <w:b w:val="1"/>
                <w:bCs w:val="1"/>
                <w:color w:val="auto"/>
              </w:rPr>
              <w:t>Ended</w:t>
            </w:r>
          </w:p>
        </w:tc>
        <w:tc>
          <w:tcPr>
            <w:tcW w:w="100" w:type="dxa"/>
            <w:vAlign w:val="bottom"/>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1620" w:type="dxa"/>
            <w:vAlign w:val="bottom"/>
            <w:tcBorders>
              <w:bottom w:val="single" w:sz="8" w:color="auto"/>
            </w:tcBorders>
            <w:gridSpan w:val="3"/>
          </w:tcPr>
          <w:p>
            <w:pPr>
              <w:jc w:val="right"/>
              <w:ind w:right="320"/>
              <w:spacing w:after="0"/>
              <w:rPr>
                <w:sz w:val="20"/>
                <w:szCs w:val="20"/>
                <w:color w:val="auto"/>
              </w:rPr>
            </w:pPr>
            <w:r>
              <w:rPr>
                <w:rFonts w:ascii="Arial" w:cs="Arial" w:eastAsia="Arial" w:hAnsi="Arial"/>
                <w:sz w:val="13"/>
                <w:szCs w:val="13"/>
                <w:b w:val="1"/>
                <w:bCs w:val="1"/>
                <w:color w:val="auto"/>
              </w:rPr>
              <w:t>prior fiscal year</w:t>
            </w:r>
          </w:p>
        </w:tc>
        <w:tc>
          <w:tcPr>
            <w:tcW w:w="2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jc w:val="center"/>
              <w:ind w:right="33"/>
              <w:spacing w:after="0"/>
              <w:rPr>
                <w:sz w:val="20"/>
                <w:szCs w:val="20"/>
                <w:color w:val="auto"/>
              </w:rPr>
            </w:pPr>
            <w:r>
              <w:rPr>
                <w:rFonts w:ascii="Arial" w:cs="Arial" w:eastAsia="Arial" w:hAnsi="Arial"/>
                <w:sz w:val="13"/>
                <w:szCs w:val="13"/>
                <w:b w:val="1"/>
                <w:bCs w:val="1"/>
                <w:color w:val="auto"/>
              </w:rPr>
              <w:t>Ended</w:t>
            </w:r>
          </w:p>
        </w:tc>
        <w:tc>
          <w:tcPr>
            <w:tcW w:w="100" w:type="dxa"/>
            <w:vAlign w:val="bottom"/>
          </w:tcPr>
          <w:p>
            <w:pPr>
              <w:spacing w:after="0"/>
              <w:rPr>
                <w:sz w:val="15"/>
                <w:szCs w:val="15"/>
                <w:color w:val="auto"/>
              </w:rPr>
            </w:pPr>
          </w:p>
        </w:tc>
        <w:tc>
          <w:tcPr>
            <w:tcW w:w="31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2"/>
        </w:trPr>
        <w:tc>
          <w:tcPr>
            <w:tcW w:w="3160" w:type="dxa"/>
            <w:vAlign w:val="bottom"/>
            <w:vMerge w:val="restart"/>
          </w:tcPr>
          <w:p>
            <w:pPr>
              <w:ind w:left="20"/>
              <w:spacing w:after="0"/>
              <w:rPr>
                <w:sz w:val="20"/>
                <w:szCs w:val="20"/>
                <w:color w:val="auto"/>
              </w:rPr>
            </w:pPr>
            <w:r>
              <w:rPr>
                <w:rFonts w:ascii="Arial" w:cs="Arial" w:eastAsia="Arial" w:hAnsi="Arial"/>
                <w:sz w:val="13"/>
                <w:szCs w:val="13"/>
                <w:i w:val="1"/>
                <w:iCs w:val="1"/>
                <w:color w:val="auto"/>
              </w:rPr>
              <w:t>(In millions, except percentages)</w:t>
            </w:r>
          </w:p>
        </w:tc>
        <w:tc>
          <w:tcPr>
            <w:tcW w:w="120" w:type="dxa"/>
            <w:vAlign w:val="bottom"/>
          </w:tcPr>
          <w:p>
            <w:pPr>
              <w:spacing w:after="0"/>
              <w:rPr>
                <w:sz w:val="11"/>
                <w:szCs w:val="11"/>
                <w:color w:val="auto"/>
              </w:rPr>
            </w:pPr>
          </w:p>
        </w:tc>
        <w:tc>
          <w:tcPr>
            <w:tcW w:w="980" w:type="dxa"/>
            <w:vAlign w:val="bottom"/>
            <w:vMerge w:val="restart"/>
          </w:tcPr>
          <w:p>
            <w:pPr>
              <w:jc w:val="center"/>
              <w:ind w:right="33"/>
              <w:spacing w:after="0"/>
              <w:rPr>
                <w:sz w:val="20"/>
                <w:szCs w:val="20"/>
                <w:color w:val="auto"/>
              </w:rPr>
            </w:pPr>
            <w:r>
              <w:rPr>
                <w:rFonts w:ascii="Arial" w:cs="Arial" w:eastAsia="Arial" w:hAnsi="Arial"/>
                <w:sz w:val="13"/>
                <w:szCs w:val="13"/>
                <w:b w:val="1"/>
                <w:bCs w:val="1"/>
                <w:color w:val="auto"/>
              </w:rPr>
              <w:t>April 30, 2023</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640" w:type="dxa"/>
            <w:vAlign w:val="bottom"/>
            <w:vMerge w:val="restart"/>
          </w:tcPr>
          <w:p>
            <w:pPr>
              <w:jc w:val="right"/>
              <w:ind w:right="393"/>
              <w:spacing w:after="0"/>
              <w:rPr>
                <w:sz w:val="20"/>
                <w:szCs w:val="20"/>
                <w:color w:val="auto"/>
              </w:rPr>
            </w:pPr>
            <w:r>
              <w:rPr>
                <w:rFonts w:ascii="Arial" w:cs="Arial" w:eastAsia="Arial" w:hAnsi="Arial"/>
                <w:sz w:val="13"/>
                <w:szCs w:val="13"/>
                <w:b w:val="1"/>
                <w:bCs w:val="1"/>
                <w:color w:val="auto"/>
              </w:rPr>
              <w:t>$</w:t>
            </w:r>
          </w:p>
        </w:tc>
        <w:tc>
          <w:tcPr>
            <w:tcW w:w="980" w:type="dxa"/>
            <w:vAlign w:val="bottom"/>
            <w:gridSpan w:val="2"/>
            <w:vMerge w:val="restart"/>
          </w:tcPr>
          <w:p>
            <w:pPr>
              <w:jc w:val="right"/>
              <w:ind w:right="340"/>
              <w:spacing w:after="0"/>
              <w:rPr>
                <w:sz w:val="20"/>
                <w:szCs w:val="20"/>
                <w:color w:val="auto"/>
              </w:rPr>
            </w:pPr>
            <w:r>
              <w:rPr>
                <w:rFonts w:ascii="Arial" w:cs="Arial" w:eastAsia="Arial" w:hAnsi="Arial"/>
                <w:sz w:val="13"/>
                <w:szCs w:val="13"/>
                <w:b w:val="1"/>
                <w:bCs w:val="1"/>
                <w:color w:val="auto"/>
              </w:rPr>
              <w:t>%</w:t>
            </w:r>
          </w:p>
        </w:tc>
        <w:tc>
          <w:tcPr>
            <w:tcW w:w="2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60" w:type="dxa"/>
            <w:vAlign w:val="bottom"/>
          </w:tcPr>
          <w:p>
            <w:pPr>
              <w:jc w:val="center"/>
              <w:ind w:right="33"/>
              <w:spacing w:after="0" w:line="133" w:lineRule="exact"/>
              <w:rPr>
                <w:sz w:val="20"/>
                <w:szCs w:val="20"/>
                <w:color w:val="auto"/>
              </w:rPr>
            </w:pPr>
            <w:r>
              <w:rPr>
                <w:rFonts w:ascii="Arial" w:cs="Arial" w:eastAsia="Arial" w:hAnsi="Arial"/>
                <w:sz w:val="13"/>
                <w:szCs w:val="13"/>
                <w:b w:val="1"/>
                <w:bCs w:val="1"/>
                <w:color w:val="auto"/>
              </w:rPr>
              <w:t>April 30,</w:t>
            </w:r>
          </w:p>
        </w:tc>
        <w:tc>
          <w:tcPr>
            <w:tcW w:w="100" w:type="dxa"/>
            <w:vAlign w:val="bottom"/>
          </w:tcPr>
          <w:p>
            <w:pPr>
              <w:spacing w:after="0"/>
              <w:rPr>
                <w:sz w:val="11"/>
                <w:szCs w:val="11"/>
                <w:color w:val="auto"/>
              </w:rPr>
            </w:pPr>
          </w:p>
        </w:tc>
        <w:tc>
          <w:tcPr>
            <w:tcW w:w="3180" w:type="dxa"/>
            <w:vAlign w:val="bottom"/>
            <w:vMerge w:val="restart"/>
          </w:tcPr>
          <w:p>
            <w:pPr>
              <w:ind w:left="840"/>
              <w:spacing w:after="0"/>
              <w:rPr>
                <w:sz w:val="20"/>
                <w:szCs w:val="20"/>
                <w:color w:val="auto"/>
              </w:rPr>
            </w:pPr>
            <w:r>
              <w:rPr>
                <w:rFonts w:ascii="Arial" w:cs="Arial" w:eastAsia="Arial" w:hAnsi="Arial"/>
                <w:sz w:val="13"/>
                <w:szCs w:val="13"/>
                <w:b w:val="1"/>
                <w:bCs w:val="1"/>
                <w:color w:val="auto"/>
              </w:rPr>
              <w:t>Management Comments</w:t>
            </w:r>
          </w:p>
        </w:tc>
        <w:tc>
          <w:tcPr>
            <w:tcW w:w="0" w:type="dxa"/>
            <w:vAlign w:val="bottom"/>
          </w:tcPr>
          <w:p>
            <w:pPr>
              <w:spacing w:after="0"/>
              <w:rPr>
                <w:sz w:val="1"/>
                <w:szCs w:val="1"/>
                <w:color w:val="auto"/>
              </w:rPr>
            </w:pPr>
          </w:p>
        </w:tc>
      </w:tr>
      <w:tr>
        <w:trPr>
          <w:trHeight w:val="176"/>
        </w:trPr>
        <w:tc>
          <w:tcPr>
            <w:tcW w:w="3160" w:type="dxa"/>
            <w:vAlign w:val="bottom"/>
            <w:vMerge w:val="continue"/>
          </w:tcPr>
          <w:p>
            <w:pPr>
              <w:spacing w:after="0"/>
              <w:rPr>
                <w:sz w:val="15"/>
                <w:szCs w:val="15"/>
                <w:color w:val="auto"/>
              </w:rPr>
            </w:pPr>
          </w:p>
        </w:tc>
        <w:tc>
          <w:tcPr>
            <w:tcW w:w="120" w:type="dxa"/>
            <w:vAlign w:val="bottom"/>
          </w:tcPr>
          <w:p>
            <w:pPr>
              <w:spacing w:after="0"/>
              <w:rPr>
                <w:sz w:val="15"/>
                <w:szCs w:val="15"/>
                <w:color w:val="auto"/>
              </w:rPr>
            </w:pPr>
          </w:p>
        </w:tc>
        <w:tc>
          <w:tcPr>
            <w:tcW w:w="980" w:type="dxa"/>
            <w:vAlign w:val="bottom"/>
            <w:vMerge w:val="continue"/>
          </w:tcPr>
          <w:p>
            <w:pPr>
              <w:spacing w:after="0"/>
              <w:rPr>
                <w:sz w:val="15"/>
                <w:szCs w:val="15"/>
                <w:color w:val="auto"/>
              </w:rPr>
            </w:pPr>
          </w:p>
        </w:tc>
        <w:tc>
          <w:tcPr>
            <w:tcW w:w="1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640" w:type="dxa"/>
            <w:vAlign w:val="bottom"/>
            <w:vMerge w:val="continue"/>
          </w:tcPr>
          <w:p>
            <w:pPr>
              <w:spacing w:after="0"/>
              <w:rPr>
                <w:sz w:val="15"/>
                <w:szCs w:val="15"/>
                <w:color w:val="auto"/>
              </w:rPr>
            </w:pPr>
          </w:p>
        </w:tc>
        <w:tc>
          <w:tcPr>
            <w:tcW w:w="980" w:type="dxa"/>
            <w:vAlign w:val="bottom"/>
            <w:gridSpan w:val="2"/>
            <w:vMerge w:val="continue"/>
          </w:tcPr>
          <w:p>
            <w:pPr>
              <w:spacing w:after="0"/>
              <w:rPr>
                <w:sz w:val="15"/>
                <w:szCs w:val="15"/>
                <w:color w:val="auto"/>
              </w:rPr>
            </w:pPr>
          </w:p>
        </w:tc>
        <w:tc>
          <w:tcPr>
            <w:tcW w:w="2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60" w:type="dxa"/>
            <w:vAlign w:val="bottom"/>
          </w:tcPr>
          <w:p>
            <w:pPr>
              <w:jc w:val="center"/>
              <w:ind w:right="33"/>
              <w:spacing w:after="0"/>
              <w:rPr>
                <w:sz w:val="20"/>
                <w:szCs w:val="20"/>
                <w:color w:val="auto"/>
              </w:rPr>
            </w:pPr>
            <w:r>
              <w:rPr>
                <w:rFonts w:ascii="Arial" w:cs="Arial" w:eastAsia="Arial" w:hAnsi="Arial"/>
                <w:sz w:val="13"/>
                <w:szCs w:val="13"/>
                <w:b w:val="1"/>
                <w:bCs w:val="1"/>
                <w:color w:val="auto"/>
                <w:w w:val="96"/>
              </w:rPr>
              <w:t>2022</w:t>
            </w:r>
          </w:p>
        </w:tc>
        <w:tc>
          <w:tcPr>
            <w:tcW w:w="100" w:type="dxa"/>
            <w:vAlign w:val="bottom"/>
          </w:tcPr>
          <w:p>
            <w:pPr>
              <w:spacing w:after="0"/>
              <w:rPr>
                <w:sz w:val="15"/>
                <w:szCs w:val="15"/>
                <w:color w:val="auto"/>
              </w:rPr>
            </w:pPr>
          </w:p>
        </w:tc>
        <w:tc>
          <w:tcPr>
            <w:tcW w:w="31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316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Net Revenue by Sales Channel:</w:t>
            </w:r>
          </w:p>
        </w:tc>
        <w:tc>
          <w:tcPr>
            <w:tcW w:w="120" w:type="dxa"/>
            <w:vAlign w:val="bottom"/>
            <w:tcBorders>
              <w:top w:val="single" w:sz="8" w:color="auto"/>
            </w:tcBorders>
            <w:shd w:val="clear" w:color="auto" w:fill="CCEEFF"/>
          </w:tcPr>
          <w:p>
            <w:pPr>
              <w:spacing w:after="0"/>
              <w:rPr>
                <w:sz w:val="14"/>
                <w:szCs w:val="14"/>
                <w:color w:val="auto"/>
              </w:rPr>
            </w:pPr>
          </w:p>
        </w:tc>
        <w:tc>
          <w:tcPr>
            <w:tcW w:w="9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200" w:type="dxa"/>
            <w:vAlign w:val="bottom"/>
            <w:tcBorders>
              <w:top w:val="single" w:sz="8" w:color="auto"/>
            </w:tcBorders>
            <w:shd w:val="clear" w:color="auto" w:fill="CCEEFF"/>
          </w:tcPr>
          <w:p>
            <w:pPr>
              <w:spacing w:after="0"/>
              <w:rPr>
                <w:sz w:val="14"/>
                <w:szCs w:val="14"/>
                <w:color w:val="auto"/>
              </w:rPr>
            </w:pPr>
          </w:p>
        </w:tc>
        <w:tc>
          <w:tcPr>
            <w:tcW w:w="640" w:type="dxa"/>
            <w:vAlign w:val="bottom"/>
            <w:tcBorders>
              <w:top w:val="single" w:sz="8" w:color="auto"/>
            </w:tcBorders>
            <w:shd w:val="clear" w:color="auto" w:fill="CCEEFF"/>
          </w:tcPr>
          <w:p>
            <w:pPr>
              <w:spacing w:after="0"/>
              <w:rPr>
                <w:sz w:val="14"/>
                <w:szCs w:val="14"/>
                <w:color w:val="auto"/>
              </w:rPr>
            </w:pPr>
          </w:p>
        </w:tc>
        <w:tc>
          <w:tcPr>
            <w:tcW w:w="120" w:type="dxa"/>
            <w:vAlign w:val="bottom"/>
            <w:tcBorders>
              <w:top w:val="single" w:sz="8" w:color="CCEEFF"/>
            </w:tcBorders>
            <w:shd w:val="clear" w:color="auto" w:fill="CCEEFF"/>
          </w:tcPr>
          <w:p>
            <w:pPr>
              <w:spacing w:after="0"/>
              <w:rPr>
                <w:sz w:val="14"/>
                <w:szCs w:val="14"/>
                <w:color w:val="auto"/>
              </w:rPr>
            </w:pPr>
          </w:p>
        </w:tc>
        <w:tc>
          <w:tcPr>
            <w:tcW w:w="860" w:type="dxa"/>
            <w:vAlign w:val="bottom"/>
            <w:tcBorders>
              <w:top w:val="single" w:sz="8" w:color="auto"/>
            </w:tcBorders>
            <w:shd w:val="clear" w:color="auto" w:fill="CCEEFF"/>
          </w:tcPr>
          <w:p>
            <w:pPr>
              <w:spacing w:after="0"/>
              <w:rPr>
                <w:sz w:val="14"/>
                <w:szCs w:val="14"/>
                <w:color w:val="auto"/>
              </w:rPr>
            </w:pPr>
          </w:p>
        </w:tc>
        <w:tc>
          <w:tcPr>
            <w:tcW w:w="22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00" w:type="dxa"/>
            <w:vAlign w:val="bottom"/>
            <w:tcBorders>
              <w:top w:val="single" w:sz="8" w:color="auto"/>
            </w:tcBorders>
            <w:shd w:val="clear" w:color="auto" w:fill="CCEEFF"/>
          </w:tcPr>
          <w:p>
            <w:pPr>
              <w:spacing w:after="0"/>
              <w:rPr>
                <w:sz w:val="14"/>
                <w:szCs w:val="14"/>
                <w:color w:val="auto"/>
              </w:rPr>
            </w:pPr>
          </w:p>
        </w:tc>
        <w:tc>
          <w:tcPr>
            <w:tcW w:w="66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318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4"/>
        </w:trPr>
        <w:tc>
          <w:tcPr>
            <w:tcW w:w="3160" w:type="dxa"/>
            <w:vAlign w:val="bottom"/>
          </w:tcPr>
          <w:p>
            <w:pPr>
              <w:ind w:left="300"/>
              <w:spacing w:after="0" w:line="144" w:lineRule="exact"/>
              <w:rPr>
                <w:sz w:val="20"/>
                <w:szCs w:val="20"/>
                <w:color w:val="auto"/>
              </w:rPr>
            </w:pPr>
            <w:r>
              <w:rPr>
                <w:rFonts w:ascii="Arial" w:cs="Arial" w:eastAsia="Arial" w:hAnsi="Arial"/>
                <w:sz w:val="14"/>
                <w:szCs w:val="14"/>
                <w:color w:val="auto"/>
              </w:rPr>
              <w:t>Indirect</w:t>
            </w:r>
          </w:p>
        </w:tc>
        <w:tc>
          <w:tcPr>
            <w:tcW w:w="12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980" w:type="dxa"/>
            <w:vAlign w:val="bottom"/>
          </w:tcPr>
          <w:p>
            <w:pPr>
              <w:jc w:val="right"/>
              <w:spacing w:after="0" w:line="144" w:lineRule="exact"/>
              <w:rPr>
                <w:sz w:val="20"/>
                <w:szCs w:val="20"/>
                <w:color w:val="auto"/>
              </w:rPr>
            </w:pPr>
            <w:r>
              <w:rPr>
                <w:rFonts w:ascii="Arial" w:cs="Arial" w:eastAsia="Arial" w:hAnsi="Arial"/>
                <w:sz w:val="14"/>
                <w:szCs w:val="14"/>
                <w:color w:val="auto"/>
              </w:rPr>
              <w:t>820</w:t>
            </w:r>
          </w:p>
        </w:tc>
        <w:tc>
          <w:tcPr>
            <w:tcW w:w="300" w:type="dxa"/>
            <w:vAlign w:val="bottom"/>
            <w:gridSpan w:val="2"/>
          </w:tcPr>
          <w:p>
            <w:pPr>
              <w:jc w:val="right"/>
              <w:ind w:right="100"/>
              <w:spacing w:after="0" w:line="144" w:lineRule="exact"/>
              <w:rPr>
                <w:sz w:val="20"/>
                <w:szCs w:val="20"/>
                <w:color w:val="auto"/>
              </w:rPr>
            </w:pPr>
            <w:r>
              <w:rPr>
                <w:rFonts w:ascii="Arial" w:cs="Arial" w:eastAsia="Arial" w:hAnsi="Arial"/>
                <w:sz w:val="14"/>
                <w:szCs w:val="14"/>
                <w:color w:val="auto"/>
              </w:rPr>
              <w:t>$</w:t>
            </w:r>
          </w:p>
        </w:tc>
        <w:tc>
          <w:tcPr>
            <w:tcW w:w="640" w:type="dxa"/>
            <w:vAlign w:val="bottom"/>
          </w:tcPr>
          <w:p>
            <w:pPr>
              <w:jc w:val="right"/>
              <w:ind w:right="13"/>
              <w:spacing w:after="0" w:line="144" w:lineRule="exact"/>
              <w:rPr>
                <w:sz w:val="20"/>
                <w:szCs w:val="20"/>
                <w:color w:val="auto"/>
              </w:rPr>
            </w:pPr>
            <w:r>
              <w:rPr>
                <w:rFonts w:ascii="Arial" w:cs="Arial" w:eastAsia="Arial" w:hAnsi="Arial"/>
                <w:sz w:val="14"/>
                <w:szCs w:val="14"/>
                <w:color w:val="auto"/>
              </w:rPr>
              <w:t>51</w:t>
            </w:r>
          </w:p>
        </w:tc>
        <w:tc>
          <w:tcPr>
            <w:tcW w:w="980" w:type="dxa"/>
            <w:vAlign w:val="bottom"/>
            <w:gridSpan w:val="2"/>
          </w:tcPr>
          <w:p>
            <w:pPr>
              <w:jc w:val="right"/>
              <w:ind w:right="80"/>
              <w:spacing w:after="0" w:line="144" w:lineRule="exact"/>
              <w:rPr>
                <w:sz w:val="20"/>
                <w:szCs w:val="20"/>
                <w:color w:val="auto"/>
              </w:rPr>
            </w:pPr>
            <w:r>
              <w:rPr>
                <w:rFonts w:ascii="Arial" w:cs="Arial" w:eastAsia="Arial" w:hAnsi="Arial"/>
                <w:sz w:val="14"/>
                <w:szCs w:val="14"/>
                <w:color w:val="auto"/>
              </w:rPr>
              <w:t>7</w:t>
            </w:r>
          </w:p>
        </w:tc>
        <w:tc>
          <w:tcPr>
            <w:tcW w:w="22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20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w:t>
            </w:r>
          </w:p>
        </w:tc>
        <w:tc>
          <w:tcPr>
            <w:tcW w:w="660" w:type="dxa"/>
            <w:vAlign w:val="bottom"/>
          </w:tcPr>
          <w:p>
            <w:pPr>
              <w:jc w:val="right"/>
              <w:spacing w:after="0" w:line="144" w:lineRule="exact"/>
              <w:rPr>
                <w:sz w:val="20"/>
                <w:szCs w:val="20"/>
                <w:color w:val="auto"/>
              </w:rPr>
            </w:pPr>
            <w:r>
              <w:rPr>
                <w:rFonts w:ascii="Arial" w:cs="Arial" w:eastAsia="Arial" w:hAnsi="Arial"/>
                <w:sz w:val="14"/>
                <w:szCs w:val="14"/>
                <w:color w:val="auto"/>
              </w:rPr>
              <w:t>769</w:t>
            </w:r>
          </w:p>
        </w:tc>
        <w:tc>
          <w:tcPr>
            <w:tcW w:w="100" w:type="dxa"/>
            <w:vAlign w:val="bottom"/>
          </w:tcPr>
          <w:p>
            <w:pPr>
              <w:spacing w:after="0"/>
              <w:rPr>
                <w:sz w:val="12"/>
                <w:szCs w:val="12"/>
                <w:color w:val="auto"/>
              </w:rPr>
            </w:pPr>
          </w:p>
        </w:tc>
        <w:tc>
          <w:tcPr>
            <w:tcW w:w="3180" w:type="dxa"/>
            <w:vAlign w:val="bottom"/>
          </w:tcPr>
          <w:p>
            <w:pPr>
              <w:ind w:left="20"/>
              <w:spacing w:after="0" w:line="144" w:lineRule="exact"/>
              <w:rPr>
                <w:sz w:val="20"/>
                <w:szCs w:val="20"/>
                <w:color w:val="auto"/>
              </w:rPr>
            </w:pPr>
            <w:r>
              <w:rPr>
                <w:rFonts w:ascii="Arial" w:cs="Arial" w:eastAsia="Arial" w:hAnsi="Arial"/>
                <w:sz w:val="14"/>
                <w:szCs w:val="14"/>
                <w:color w:val="auto"/>
              </w:rPr>
              <w:t>Increase due to growth in subscription revenue,</w:t>
            </w:r>
          </w:p>
        </w:tc>
        <w:tc>
          <w:tcPr>
            <w:tcW w:w="0" w:type="dxa"/>
            <w:vAlign w:val="bottom"/>
          </w:tcPr>
          <w:p>
            <w:pPr>
              <w:spacing w:after="0"/>
              <w:rPr>
                <w:sz w:val="1"/>
                <w:szCs w:val="1"/>
                <w:color w:val="auto"/>
              </w:rPr>
            </w:pPr>
          </w:p>
        </w:tc>
      </w:tr>
      <w:tr>
        <w:trPr>
          <w:trHeight w:val="141"/>
        </w:trPr>
        <w:tc>
          <w:tcPr>
            <w:tcW w:w="3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180" w:type="dxa"/>
            <w:vAlign w:val="bottom"/>
          </w:tcPr>
          <w:p>
            <w:pPr>
              <w:ind w:left="20"/>
              <w:spacing w:after="0" w:line="141" w:lineRule="exact"/>
              <w:rPr>
                <w:sz w:val="20"/>
                <w:szCs w:val="20"/>
                <w:color w:val="auto"/>
              </w:rPr>
            </w:pPr>
            <w:r>
              <w:rPr>
                <w:rFonts w:ascii="Arial" w:cs="Arial" w:eastAsia="Arial" w:hAnsi="Arial"/>
                <w:sz w:val="14"/>
                <w:szCs w:val="14"/>
                <w:color w:val="auto"/>
              </w:rPr>
              <w:t>led by product subscription renewal revenue from</w:t>
            </w:r>
          </w:p>
        </w:tc>
        <w:tc>
          <w:tcPr>
            <w:tcW w:w="0" w:type="dxa"/>
            <w:vAlign w:val="bottom"/>
          </w:tcPr>
          <w:p>
            <w:pPr>
              <w:spacing w:after="0"/>
              <w:rPr>
                <w:sz w:val="1"/>
                <w:szCs w:val="1"/>
                <w:color w:val="auto"/>
              </w:rPr>
            </w:pPr>
          </w:p>
        </w:tc>
      </w:tr>
      <w:tr>
        <w:trPr>
          <w:trHeight w:val="182"/>
        </w:trPr>
        <w:tc>
          <w:tcPr>
            <w:tcW w:w="3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9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3180" w:type="dxa"/>
            <w:vAlign w:val="bottom"/>
          </w:tcPr>
          <w:p>
            <w:pPr>
              <w:ind w:left="20"/>
              <w:spacing w:after="0"/>
              <w:rPr>
                <w:sz w:val="20"/>
                <w:szCs w:val="20"/>
                <w:color w:val="auto"/>
              </w:rPr>
            </w:pPr>
            <w:r>
              <w:rPr>
                <w:rFonts w:ascii="Arial" w:cs="Arial" w:eastAsia="Arial" w:hAnsi="Arial"/>
                <w:sz w:val="14"/>
                <w:szCs w:val="14"/>
                <w:color w:val="auto"/>
              </w:rPr>
              <w:t>a growing subscriber base.</w:t>
            </w:r>
          </w:p>
        </w:tc>
        <w:tc>
          <w:tcPr>
            <w:tcW w:w="0" w:type="dxa"/>
            <w:vAlign w:val="bottom"/>
          </w:tcPr>
          <w:p>
            <w:pPr>
              <w:spacing w:after="0"/>
              <w:rPr>
                <w:sz w:val="1"/>
                <w:szCs w:val="1"/>
                <w:color w:val="auto"/>
              </w:rPr>
            </w:pPr>
          </w:p>
        </w:tc>
      </w:tr>
      <w:tr>
        <w:trPr>
          <w:trHeight w:val="146"/>
        </w:trPr>
        <w:tc>
          <w:tcPr>
            <w:tcW w:w="316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Direct</w:t>
            </w:r>
          </w:p>
        </w:tc>
        <w:tc>
          <w:tcPr>
            <w:tcW w:w="120" w:type="dxa"/>
            <w:vAlign w:val="bottom"/>
            <w:shd w:val="clear" w:color="auto" w:fill="CCEEFF"/>
          </w:tcPr>
          <w:p>
            <w:pPr>
              <w:spacing w:after="0"/>
              <w:rPr>
                <w:sz w:val="12"/>
                <w:szCs w:val="12"/>
                <w:color w:val="auto"/>
              </w:rPr>
            </w:pPr>
          </w:p>
        </w:tc>
        <w:tc>
          <w:tcPr>
            <w:tcW w:w="9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449</w:t>
            </w:r>
          </w:p>
        </w:tc>
        <w:tc>
          <w:tcPr>
            <w:tcW w:w="100" w:type="dxa"/>
            <w:vAlign w:val="bottom"/>
            <w:shd w:val="clear" w:color="auto" w:fill="CCEEFF"/>
          </w:tcPr>
          <w:p>
            <w:pPr>
              <w:spacing w:after="0"/>
              <w:rPr>
                <w:sz w:val="12"/>
                <w:szCs w:val="12"/>
                <w:color w:val="auto"/>
              </w:rPr>
            </w:pPr>
          </w:p>
        </w:tc>
        <w:tc>
          <w:tcPr>
            <w:tcW w:w="200" w:type="dxa"/>
            <w:vAlign w:val="bottom"/>
            <w:shd w:val="clear" w:color="auto" w:fill="CCEEFF"/>
          </w:tcPr>
          <w:p>
            <w:pPr>
              <w:spacing w:after="0"/>
              <w:rPr>
                <w:sz w:val="12"/>
                <w:szCs w:val="12"/>
                <w:color w:val="auto"/>
              </w:rPr>
            </w:pPr>
          </w:p>
        </w:tc>
        <w:tc>
          <w:tcPr>
            <w:tcW w:w="640" w:type="dxa"/>
            <w:vAlign w:val="bottom"/>
            <w:shd w:val="clear" w:color="auto" w:fill="CCEEFF"/>
          </w:tcPr>
          <w:p>
            <w:pPr>
              <w:jc w:val="right"/>
              <w:ind w:right="13"/>
              <w:spacing w:after="0" w:line="147" w:lineRule="exact"/>
              <w:rPr>
                <w:sz w:val="20"/>
                <w:szCs w:val="20"/>
                <w:color w:val="auto"/>
              </w:rPr>
            </w:pPr>
            <w:r>
              <w:rPr>
                <w:rFonts w:ascii="Arial" w:cs="Arial" w:eastAsia="Arial" w:hAnsi="Arial"/>
                <w:sz w:val="14"/>
                <w:szCs w:val="14"/>
                <w:color w:val="auto"/>
              </w:rPr>
              <w:t>48</w:t>
            </w:r>
          </w:p>
        </w:tc>
        <w:tc>
          <w:tcPr>
            <w:tcW w:w="980" w:type="dxa"/>
            <w:vAlign w:val="bottom"/>
            <w:gridSpan w:val="2"/>
            <w:shd w:val="clear" w:color="auto" w:fill="CCEEFF"/>
          </w:tcPr>
          <w:p>
            <w:pPr>
              <w:jc w:val="right"/>
              <w:ind w:right="100"/>
              <w:spacing w:after="0" w:line="147" w:lineRule="exact"/>
              <w:rPr>
                <w:sz w:val="20"/>
                <w:szCs w:val="20"/>
                <w:color w:val="auto"/>
              </w:rPr>
            </w:pPr>
            <w:r>
              <w:rPr>
                <w:rFonts w:ascii="Arial" w:cs="Arial" w:eastAsia="Arial" w:hAnsi="Arial"/>
                <w:sz w:val="14"/>
                <w:szCs w:val="14"/>
                <w:color w:val="auto"/>
              </w:rPr>
              <w:t>12</w:t>
            </w:r>
          </w:p>
        </w:tc>
        <w:tc>
          <w:tcPr>
            <w:tcW w:w="22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66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401</w:t>
            </w:r>
          </w:p>
        </w:tc>
        <w:tc>
          <w:tcPr>
            <w:tcW w:w="100" w:type="dxa"/>
            <w:vAlign w:val="bottom"/>
            <w:shd w:val="clear" w:color="auto" w:fill="CCEEFF"/>
          </w:tcPr>
          <w:p>
            <w:pPr>
              <w:spacing w:after="0"/>
              <w:rPr>
                <w:sz w:val="12"/>
                <w:szCs w:val="12"/>
                <w:color w:val="auto"/>
              </w:rPr>
            </w:pPr>
          </w:p>
        </w:tc>
        <w:tc>
          <w:tcPr>
            <w:tcW w:w="3180" w:type="dxa"/>
            <w:vAlign w:val="bottom"/>
            <w:shd w:val="clear" w:color="auto" w:fill="CCEEFF"/>
          </w:tcPr>
          <w:p>
            <w:pPr>
              <w:ind w:left="20"/>
              <w:spacing w:after="0" w:line="147" w:lineRule="exact"/>
              <w:rPr>
                <w:sz w:val="20"/>
                <w:szCs w:val="20"/>
                <w:color w:val="auto"/>
              </w:rPr>
            </w:pPr>
            <w:r>
              <w:rPr>
                <w:rFonts w:ascii="Arial" w:cs="Arial" w:eastAsia="Arial" w:hAnsi="Arial"/>
                <w:sz w:val="14"/>
                <w:szCs w:val="14"/>
                <w:color w:val="auto"/>
              </w:rPr>
              <w:t>Increase due to revenues from our online</w:t>
            </w:r>
          </w:p>
        </w:tc>
        <w:tc>
          <w:tcPr>
            <w:tcW w:w="0" w:type="dxa"/>
            <w:vAlign w:val="bottom"/>
          </w:tcPr>
          <w:p>
            <w:pPr>
              <w:spacing w:after="0"/>
              <w:rPr>
                <w:sz w:val="1"/>
                <w:szCs w:val="1"/>
                <w:color w:val="auto"/>
              </w:rPr>
            </w:pPr>
          </w:p>
        </w:tc>
      </w:tr>
      <w:tr>
        <w:trPr>
          <w:trHeight w:val="184"/>
        </w:trPr>
        <w:tc>
          <w:tcPr>
            <w:tcW w:w="3160" w:type="dxa"/>
            <w:vAlign w:val="bottom"/>
            <w:shd w:val="clear" w:color="auto" w:fill="CCEEFF"/>
          </w:tcPr>
          <w:p>
            <w:pPr>
              <w:spacing w:after="0"/>
              <w:rPr>
                <w:sz w:val="16"/>
                <w:szCs w:val="16"/>
                <w:color w:val="auto"/>
              </w:rPr>
            </w:pPr>
          </w:p>
        </w:tc>
        <w:tc>
          <w:tcPr>
            <w:tcW w:w="120" w:type="dxa"/>
            <w:vAlign w:val="bottom"/>
            <w:tcBorders>
              <w:bottom w:val="single" w:sz="8" w:color="auto"/>
            </w:tcBorders>
            <w:shd w:val="clear" w:color="auto" w:fill="CCEEFF"/>
          </w:tcPr>
          <w:p>
            <w:pPr>
              <w:spacing w:after="0"/>
              <w:rPr>
                <w:sz w:val="16"/>
                <w:szCs w:val="16"/>
                <w:color w:val="auto"/>
              </w:rPr>
            </w:pPr>
          </w:p>
        </w:tc>
        <w:tc>
          <w:tcPr>
            <w:tcW w:w="980" w:type="dxa"/>
            <w:vAlign w:val="bottom"/>
            <w:tcBorders>
              <w:bottom w:val="single" w:sz="8" w:color="auto"/>
            </w:tcBorders>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200" w:type="dxa"/>
            <w:vAlign w:val="bottom"/>
            <w:tcBorders>
              <w:bottom w:val="single" w:sz="8" w:color="auto"/>
            </w:tcBorders>
            <w:shd w:val="clear" w:color="auto" w:fill="CCEEFF"/>
          </w:tcPr>
          <w:p>
            <w:pPr>
              <w:spacing w:after="0"/>
              <w:rPr>
                <w:sz w:val="16"/>
                <w:szCs w:val="16"/>
                <w:color w:val="auto"/>
              </w:rPr>
            </w:pPr>
          </w:p>
        </w:tc>
        <w:tc>
          <w:tcPr>
            <w:tcW w:w="640" w:type="dxa"/>
            <w:vAlign w:val="bottom"/>
            <w:tcBorders>
              <w:bottom w:val="single" w:sz="8" w:color="auto"/>
            </w:tcBorders>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860" w:type="dxa"/>
            <w:vAlign w:val="bottom"/>
            <w:shd w:val="clear" w:color="auto" w:fill="CCEEFF"/>
          </w:tcPr>
          <w:p>
            <w:pPr>
              <w:spacing w:after="0"/>
              <w:rPr>
                <w:sz w:val="16"/>
                <w:szCs w:val="16"/>
                <w:color w:val="auto"/>
              </w:rPr>
            </w:pPr>
          </w:p>
        </w:tc>
        <w:tc>
          <w:tcPr>
            <w:tcW w:w="22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00" w:type="dxa"/>
            <w:vAlign w:val="bottom"/>
            <w:tcBorders>
              <w:bottom w:val="single" w:sz="8" w:color="auto"/>
            </w:tcBorders>
            <w:shd w:val="clear" w:color="auto" w:fill="CCEEFF"/>
          </w:tcPr>
          <w:p>
            <w:pPr>
              <w:spacing w:after="0"/>
              <w:rPr>
                <w:sz w:val="16"/>
                <w:szCs w:val="16"/>
                <w:color w:val="auto"/>
              </w:rPr>
            </w:pPr>
          </w:p>
        </w:tc>
        <w:tc>
          <w:tcPr>
            <w:tcW w:w="660" w:type="dxa"/>
            <w:vAlign w:val="bottom"/>
            <w:tcBorders>
              <w:bottom w:val="single" w:sz="8" w:color="auto"/>
            </w:tcBorders>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3180" w:type="dxa"/>
            <w:vAlign w:val="bottom"/>
            <w:shd w:val="clear" w:color="auto" w:fill="CCEEFF"/>
          </w:tcPr>
          <w:p>
            <w:pPr>
              <w:ind w:left="20"/>
              <w:spacing w:after="0"/>
              <w:rPr>
                <w:sz w:val="20"/>
                <w:szCs w:val="20"/>
                <w:color w:val="auto"/>
              </w:rPr>
            </w:pPr>
            <w:r>
              <w:rPr>
                <w:rFonts w:ascii="Arial" w:cs="Arial" w:eastAsia="Arial" w:hAnsi="Arial"/>
                <w:sz w:val="14"/>
                <w:szCs w:val="14"/>
                <w:color w:val="auto"/>
              </w:rPr>
              <w:t>Autodesk branded store and EBAs.</w:t>
            </w:r>
          </w:p>
        </w:tc>
        <w:tc>
          <w:tcPr>
            <w:tcW w:w="0" w:type="dxa"/>
            <w:vAlign w:val="bottom"/>
          </w:tcPr>
          <w:p>
            <w:pPr>
              <w:spacing w:after="0"/>
              <w:rPr>
                <w:sz w:val="1"/>
                <w:szCs w:val="1"/>
                <w:color w:val="auto"/>
              </w:rPr>
            </w:pPr>
          </w:p>
        </w:tc>
      </w:tr>
      <w:tr>
        <w:trPr>
          <w:trHeight w:val="179"/>
        </w:trPr>
        <w:tc>
          <w:tcPr>
            <w:tcW w:w="3160" w:type="dxa"/>
            <w:vAlign w:val="bottom"/>
          </w:tcPr>
          <w:p>
            <w:pPr>
              <w:ind w:left="20"/>
              <w:spacing w:after="0"/>
              <w:rPr>
                <w:sz w:val="20"/>
                <w:szCs w:val="20"/>
                <w:color w:val="auto"/>
              </w:rPr>
            </w:pPr>
            <w:r>
              <w:rPr>
                <w:rFonts w:ascii="Arial" w:cs="Arial" w:eastAsia="Arial" w:hAnsi="Arial"/>
                <w:sz w:val="14"/>
                <w:szCs w:val="14"/>
                <w:color w:val="auto"/>
              </w:rPr>
              <w:t>Total Net Revenue</w:t>
            </w:r>
          </w:p>
        </w:tc>
        <w:tc>
          <w:tcPr>
            <w:tcW w:w="120" w:type="dxa"/>
            <w:vAlign w:val="bottom"/>
          </w:tcPr>
          <w:p>
            <w:pPr>
              <w:jc w:val="right"/>
              <w:spacing w:after="0"/>
              <w:rPr>
                <w:sz w:val="20"/>
                <w:szCs w:val="20"/>
                <w:color w:val="auto"/>
              </w:rPr>
            </w:pPr>
            <w:r>
              <w:rPr>
                <w:rFonts w:ascii="Arial" w:cs="Arial" w:eastAsia="Arial" w:hAnsi="Arial"/>
                <w:sz w:val="14"/>
                <w:szCs w:val="14"/>
                <w:color w:val="auto"/>
              </w:rPr>
              <w:t>$</w:t>
            </w:r>
          </w:p>
        </w:tc>
        <w:tc>
          <w:tcPr>
            <w:tcW w:w="980" w:type="dxa"/>
            <w:vAlign w:val="bottom"/>
          </w:tcPr>
          <w:p>
            <w:pPr>
              <w:jc w:val="right"/>
              <w:spacing w:after="0"/>
              <w:rPr>
                <w:sz w:val="20"/>
                <w:szCs w:val="20"/>
                <w:color w:val="auto"/>
              </w:rPr>
            </w:pPr>
            <w:r>
              <w:rPr>
                <w:rFonts w:ascii="Arial" w:cs="Arial" w:eastAsia="Arial" w:hAnsi="Arial"/>
                <w:sz w:val="14"/>
                <w:szCs w:val="14"/>
                <w:color w:val="auto"/>
              </w:rPr>
              <w:t>1,269</w:t>
            </w:r>
          </w:p>
        </w:tc>
        <w:tc>
          <w:tcPr>
            <w:tcW w:w="300" w:type="dxa"/>
            <w:vAlign w:val="bottom"/>
            <w:gridSpan w:val="2"/>
          </w:tcPr>
          <w:p>
            <w:pPr>
              <w:jc w:val="right"/>
              <w:ind w:right="100"/>
              <w:spacing w:after="0"/>
              <w:rPr>
                <w:sz w:val="20"/>
                <w:szCs w:val="20"/>
                <w:color w:val="auto"/>
              </w:rPr>
            </w:pPr>
            <w:r>
              <w:rPr>
                <w:rFonts w:ascii="Arial" w:cs="Arial" w:eastAsia="Arial" w:hAnsi="Arial"/>
                <w:sz w:val="14"/>
                <w:szCs w:val="14"/>
                <w:color w:val="auto"/>
              </w:rPr>
              <w:t>$</w:t>
            </w:r>
          </w:p>
        </w:tc>
        <w:tc>
          <w:tcPr>
            <w:tcW w:w="640" w:type="dxa"/>
            <w:vAlign w:val="bottom"/>
          </w:tcPr>
          <w:p>
            <w:pPr>
              <w:jc w:val="right"/>
              <w:ind w:right="13"/>
              <w:spacing w:after="0"/>
              <w:rPr>
                <w:sz w:val="20"/>
                <w:szCs w:val="20"/>
                <w:color w:val="auto"/>
              </w:rPr>
            </w:pPr>
            <w:r>
              <w:rPr>
                <w:rFonts w:ascii="Arial" w:cs="Arial" w:eastAsia="Arial" w:hAnsi="Arial"/>
                <w:sz w:val="14"/>
                <w:szCs w:val="14"/>
                <w:color w:val="auto"/>
              </w:rPr>
              <w:t>99</w:t>
            </w:r>
          </w:p>
        </w:tc>
        <w:tc>
          <w:tcPr>
            <w:tcW w:w="980" w:type="dxa"/>
            <w:vAlign w:val="bottom"/>
            <w:gridSpan w:val="2"/>
          </w:tcPr>
          <w:p>
            <w:pPr>
              <w:jc w:val="right"/>
              <w:ind w:right="80"/>
              <w:spacing w:after="0"/>
              <w:rPr>
                <w:sz w:val="20"/>
                <w:szCs w:val="20"/>
                <w:color w:val="auto"/>
              </w:rPr>
            </w:pPr>
            <w:r>
              <w:rPr>
                <w:rFonts w:ascii="Arial" w:cs="Arial" w:eastAsia="Arial" w:hAnsi="Arial"/>
                <w:sz w:val="14"/>
                <w:szCs w:val="14"/>
                <w:color w:val="auto"/>
              </w:rPr>
              <w:t>8</w:t>
            </w:r>
          </w:p>
        </w:tc>
        <w:tc>
          <w:tcPr>
            <w:tcW w:w="220" w:type="dxa"/>
            <w:vAlign w:val="bottom"/>
          </w:tcPr>
          <w:p>
            <w:pPr>
              <w:jc w:val="right"/>
              <w:spacing w:after="0"/>
              <w:rPr>
                <w:sz w:val="20"/>
                <w:szCs w:val="20"/>
                <w:color w:val="auto"/>
              </w:rPr>
            </w:pPr>
            <w:r>
              <w:rPr>
                <w:rFonts w:ascii="Arial" w:cs="Arial" w:eastAsia="Arial" w:hAnsi="Arial"/>
                <w:sz w:val="14"/>
                <w:szCs w:val="14"/>
                <w:color w:val="auto"/>
              </w:rPr>
              <w:t>%</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660" w:type="dxa"/>
            <w:vAlign w:val="bottom"/>
          </w:tcPr>
          <w:p>
            <w:pPr>
              <w:jc w:val="right"/>
              <w:spacing w:after="0"/>
              <w:rPr>
                <w:sz w:val="20"/>
                <w:szCs w:val="20"/>
                <w:color w:val="auto"/>
              </w:rPr>
            </w:pPr>
            <w:r>
              <w:rPr>
                <w:rFonts w:ascii="Arial" w:cs="Arial" w:eastAsia="Arial" w:hAnsi="Arial"/>
                <w:sz w:val="14"/>
                <w:szCs w:val="14"/>
                <w:color w:val="auto"/>
              </w:rPr>
              <w:t>1,170</w:t>
            </w:r>
          </w:p>
        </w:tc>
        <w:tc>
          <w:tcPr>
            <w:tcW w:w="100" w:type="dxa"/>
            <w:vAlign w:val="bottom"/>
          </w:tcPr>
          <w:p>
            <w:pPr>
              <w:spacing w:after="0"/>
              <w:rPr>
                <w:sz w:val="15"/>
                <w:szCs w:val="15"/>
                <w:color w:val="auto"/>
              </w:rPr>
            </w:pPr>
          </w:p>
        </w:tc>
        <w:tc>
          <w:tcPr>
            <w:tcW w:w="31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316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1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62" w:lineRule="exact"/>
        <w:rPr>
          <w:sz w:val="20"/>
          <w:szCs w:val="20"/>
          <w:color w:val="auto"/>
        </w:rPr>
      </w:pPr>
    </w:p>
    <w:p>
      <w:pPr>
        <w:ind w:right="240" w:firstLine="351"/>
        <w:spacing w:after="0" w:line="257" w:lineRule="auto"/>
        <w:rPr>
          <w:sz w:val="20"/>
          <w:szCs w:val="20"/>
          <w:color w:val="auto"/>
        </w:rPr>
      </w:pPr>
      <w:r>
        <w:rPr>
          <w:rFonts w:ascii="Arial" w:cs="Arial" w:eastAsia="Arial" w:hAnsi="Arial"/>
          <w:sz w:val="15"/>
          <w:szCs w:val="15"/>
          <w:color w:val="auto"/>
        </w:rPr>
        <w:t>We anticipate that our revenue by direct sales channel will continue to increase as a percentage of total net revenue with the continued growth of our online Autodesk branded store, expanding our token-based Flex offering transactions with value-added resellers, and transacting directly with more end customers.</w:t>
      </w:r>
    </w:p>
    <w:p>
      <w:pPr>
        <w:spacing w:after="0" w:line="190"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Net Revenue by Product Type</w:t>
      </w: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2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0" w:type="dxa"/>
            <w:vAlign w:val="bottom"/>
            <w:gridSpan w:val="2"/>
            <w:vMerge w:val="restart"/>
          </w:tcPr>
          <w:p>
            <w:pPr>
              <w:jc w:val="center"/>
              <w:ind w:right="200"/>
              <w:spacing w:after="0"/>
              <w:rPr>
                <w:sz w:val="20"/>
                <w:szCs w:val="20"/>
                <w:color w:val="auto"/>
              </w:rPr>
            </w:pPr>
            <w:r>
              <w:rPr>
                <w:rFonts w:ascii="Arial" w:cs="Arial" w:eastAsia="Arial" w:hAnsi="Arial"/>
                <w:sz w:val="13"/>
                <w:szCs w:val="13"/>
                <w:b w:val="1"/>
                <w:bCs w:val="1"/>
                <w:color w:val="auto"/>
                <w:w w:val="98"/>
              </w:rPr>
              <w:t>Three Months</w:t>
            </w:r>
          </w:p>
        </w:tc>
        <w:tc>
          <w:tcPr>
            <w:tcW w:w="140" w:type="dxa"/>
            <w:vAlign w:val="bottom"/>
          </w:tcPr>
          <w:p>
            <w:pPr>
              <w:spacing w:after="0"/>
              <w:rPr>
                <w:sz w:val="13"/>
                <w:szCs w:val="13"/>
                <w:color w:val="auto"/>
              </w:rPr>
            </w:pPr>
          </w:p>
        </w:tc>
        <w:tc>
          <w:tcPr>
            <w:tcW w:w="1360" w:type="dxa"/>
            <w:vAlign w:val="bottom"/>
            <w:gridSpan w:val="3"/>
          </w:tcPr>
          <w:p>
            <w:pPr>
              <w:jc w:val="right"/>
              <w:ind w:right="20"/>
              <w:spacing w:after="0"/>
              <w:rPr>
                <w:sz w:val="20"/>
                <w:szCs w:val="20"/>
                <w:color w:val="auto"/>
              </w:rPr>
            </w:pPr>
            <w:r>
              <w:rPr>
                <w:rFonts w:ascii="Arial" w:cs="Arial" w:eastAsia="Arial" w:hAnsi="Arial"/>
                <w:sz w:val="13"/>
                <w:szCs w:val="13"/>
                <w:b w:val="1"/>
                <w:bCs w:val="1"/>
                <w:color w:val="auto"/>
              </w:rPr>
              <w:t>Change compared to</w:t>
            </w:r>
          </w:p>
        </w:tc>
        <w:tc>
          <w:tcPr>
            <w:tcW w:w="1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80" w:type="dxa"/>
            <w:vAlign w:val="bottom"/>
            <w:vMerge w:val="restart"/>
          </w:tcPr>
          <w:p>
            <w:pPr>
              <w:jc w:val="center"/>
              <w:ind w:right="55"/>
              <w:spacing w:after="0"/>
              <w:rPr>
                <w:sz w:val="20"/>
                <w:szCs w:val="20"/>
                <w:color w:val="auto"/>
              </w:rPr>
            </w:pPr>
            <w:r>
              <w:rPr>
                <w:rFonts w:ascii="Arial" w:cs="Arial" w:eastAsia="Arial" w:hAnsi="Arial"/>
                <w:sz w:val="13"/>
                <w:szCs w:val="13"/>
                <w:b w:val="1"/>
                <w:bCs w:val="1"/>
                <w:color w:val="auto"/>
                <w:w w:val="98"/>
              </w:rPr>
              <w:t>Three Months</w:t>
            </w:r>
          </w:p>
        </w:tc>
        <w:tc>
          <w:tcPr>
            <w:tcW w:w="80" w:type="dxa"/>
            <w:vAlign w:val="bottom"/>
          </w:tcPr>
          <w:p>
            <w:pPr>
              <w:spacing w:after="0"/>
              <w:rPr>
                <w:sz w:val="13"/>
                <w:szCs w:val="13"/>
                <w:color w:val="auto"/>
              </w:rPr>
            </w:pPr>
          </w:p>
        </w:tc>
        <w:tc>
          <w:tcPr>
            <w:tcW w:w="31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2"/>
        </w:trPr>
        <w:tc>
          <w:tcPr>
            <w:tcW w:w="2940" w:type="dxa"/>
            <w:vAlign w:val="bottom"/>
          </w:tcPr>
          <w:p>
            <w:pPr>
              <w:spacing w:after="0"/>
              <w:rPr>
                <w:sz w:val="7"/>
                <w:szCs w:val="7"/>
                <w:color w:val="auto"/>
              </w:rPr>
            </w:pPr>
          </w:p>
        </w:tc>
        <w:tc>
          <w:tcPr>
            <w:tcW w:w="120" w:type="dxa"/>
            <w:vAlign w:val="bottom"/>
          </w:tcPr>
          <w:p>
            <w:pPr>
              <w:spacing w:after="0"/>
              <w:rPr>
                <w:sz w:val="7"/>
                <w:szCs w:val="7"/>
                <w:color w:val="auto"/>
              </w:rPr>
            </w:pPr>
          </w:p>
        </w:tc>
        <w:tc>
          <w:tcPr>
            <w:tcW w:w="1200" w:type="dxa"/>
            <w:vAlign w:val="bottom"/>
            <w:gridSpan w:val="2"/>
            <w:vMerge w:val="continue"/>
          </w:tcPr>
          <w:p>
            <w:pPr>
              <w:spacing w:after="0"/>
              <w:rPr>
                <w:sz w:val="7"/>
                <w:szCs w:val="7"/>
                <w:color w:val="auto"/>
              </w:rPr>
            </w:pPr>
          </w:p>
        </w:tc>
        <w:tc>
          <w:tcPr>
            <w:tcW w:w="140" w:type="dxa"/>
            <w:vAlign w:val="bottom"/>
          </w:tcPr>
          <w:p>
            <w:pPr>
              <w:spacing w:after="0"/>
              <w:rPr>
                <w:sz w:val="7"/>
                <w:szCs w:val="7"/>
                <w:color w:val="auto"/>
              </w:rPr>
            </w:pPr>
          </w:p>
        </w:tc>
        <w:tc>
          <w:tcPr>
            <w:tcW w:w="1360" w:type="dxa"/>
            <w:vAlign w:val="bottom"/>
            <w:gridSpan w:val="3"/>
            <w:vMerge w:val="restart"/>
          </w:tcPr>
          <w:p>
            <w:pPr>
              <w:jc w:val="right"/>
              <w:ind w:right="180"/>
              <w:spacing w:after="0"/>
              <w:rPr>
                <w:sz w:val="20"/>
                <w:szCs w:val="20"/>
                <w:color w:val="auto"/>
              </w:rPr>
            </w:pPr>
            <w:r>
              <w:rPr>
                <w:rFonts w:ascii="Arial" w:cs="Arial" w:eastAsia="Arial" w:hAnsi="Arial"/>
                <w:sz w:val="13"/>
                <w:szCs w:val="13"/>
                <w:b w:val="1"/>
                <w:bCs w:val="1"/>
                <w:color w:val="auto"/>
              </w:rPr>
              <w:t>prior fiscal year</w:t>
            </w:r>
          </w:p>
        </w:tc>
        <w:tc>
          <w:tcPr>
            <w:tcW w:w="180" w:type="dxa"/>
            <w:vAlign w:val="bottom"/>
          </w:tcPr>
          <w:p>
            <w:pPr>
              <w:spacing w:after="0"/>
              <w:rPr>
                <w:sz w:val="7"/>
                <w:szCs w:val="7"/>
                <w:color w:val="auto"/>
              </w:rPr>
            </w:pPr>
          </w:p>
        </w:tc>
        <w:tc>
          <w:tcPr>
            <w:tcW w:w="80" w:type="dxa"/>
            <w:vAlign w:val="bottom"/>
          </w:tcPr>
          <w:p>
            <w:pPr>
              <w:spacing w:after="0"/>
              <w:rPr>
                <w:sz w:val="7"/>
                <w:szCs w:val="7"/>
                <w:color w:val="auto"/>
              </w:rPr>
            </w:pPr>
          </w:p>
        </w:tc>
        <w:tc>
          <w:tcPr>
            <w:tcW w:w="120" w:type="dxa"/>
            <w:vAlign w:val="bottom"/>
          </w:tcPr>
          <w:p>
            <w:pPr>
              <w:spacing w:after="0"/>
              <w:rPr>
                <w:sz w:val="7"/>
                <w:szCs w:val="7"/>
                <w:color w:val="auto"/>
              </w:rPr>
            </w:pPr>
          </w:p>
        </w:tc>
        <w:tc>
          <w:tcPr>
            <w:tcW w:w="1080" w:type="dxa"/>
            <w:vAlign w:val="bottom"/>
            <w:vMerge w:val="continue"/>
          </w:tcPr>
          <w:p>
            <w:pPr>
              <w:spacing w:after="0"/>
              <w:rPr>
                <w:sz w:val="7"/>
                <w:szCs w:val="7"/>
                <w:color w:val="auto"/>
              </w:rPr>
            </w:pPr>
          </w:p>
        </w:tc>
        <w:tc>
          <w:tcPr>
            <w:tcW w:w="80" w:type="dxa"/>
            <w:vAlign w:val="bottom"/>
          </w:tcPr>
          <w:p>
            <w:pPr>
              <w:spacing w:after="0"/>
              <w:rPr>
                <w:sz w:val="7"/>
                <w:szCs w:val="7"/>
                <w:color w:val="auto"/>
              </w:rPr>
            </w:pPr>
          </w:p>
        </w:tc>
        <w:tc>
          <w:tcPr>
            <w:tcW w:w="31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294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0" w:type="dxa"/>
            <w:vAlign w:val="bottom"/>
            <w:gridSpan w:val="2"/>
          </w:tcPr>
          <w:p>
            <w:pPr>
              <w:jc w:val="center"/>
              <w:ind w:right="220"/>
              <w:spacing w:after="0" w:line="94" w:lineRule="exact"/>
              <w:rPr>
                <w:sz w:val="20"/>
                <w:szCs w:val="20"/>
                <w:color w:val="auto"/>
              </w:rPr>
            </w:pPr>
            <w:r>
              <w:rPr>
                <w:rFonts w:ascii="Arial" w:cs="Arial" w:eastAsia="Arial" w:hAnsi="Arial"/>
                <w:sz w:val="10"/>
                <w:szCs w:val="10"/>
                <w:b w:val="1"/>
                <w:bCs w:val="1"/>
                <w:color w:val="auto"/>
              </w:rPr>
              <w:t>Ended April 30,</w:t>
            </w:r>
          </w:p>
        </w:tc>
        <w:tc>
          <w:tcPr>
            <w:tcW w:w="140" w:type="dxa"/>
            <w:vAlign w:val="bottom"/>
            <w:tcBorders>
              <w:bottom w:val="single" w:sz="8" w:color="auto"/>
            </w:tcBorders>
          </w:tcPr>
          <w:p>
            <w:pPr>
              <w:spacing w:after="0"/>
              <w:rPr>
                <w:sz w:val="8"/>
                <w:szCs w:val="8"/>
                <w:color w:val="auto"/>
              </w:rPr>
            </w:pPr>
          </w:p>
        </w:tc>
        <w:tc>
          <w:tcPr>
            <w:tcW w:w="1360" w:type="dxa"/>
            <w:vAlign w:val="bottom"/>
            <w:tcBorders>
              <w:bottom w:val="single" w:sz="8" w:color="auto"/>
            </w:tcBorders>
            <w:gridSpan w:val="3"/>
            <w:vMerge w:val="continue"/>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080" w:type="dxa"/>
            <w:vAlign w:val="bottom"/>
          </w:tcPr>
          <w:p>
            <w:pPr>
              <w:jc w:val="center"/>
              <w:ind w:right="35"/>
              <w:spacing w:after="0" w:line="94" w:lineRule="exact"/>
              <w:rPr>
                <w:sz w:val="20"/>
                <w:szCs w:val="20"/>
                <w:color w:val="auto"/>
              </w:rPr>
            </w:pPr>
            <w:r>
              <w:rPr>
                <w:rFonts w:ascii="Arial" w:cs="Arial" w:eastAsia="Arial" w:hAnsi="Arial"/>
                <w:sz w:val="10"/>
                <w:szCs w:val="10"/>
                <w:b w:val="1"/>
                <w:bCs w:val="1"/>
                <w:color w:val="auto"/>
              </w:rPr>
              <w:t>Ended April 30,</w:t>
            </w:r>
          </w:p>
        </w:tc>
        <w:tc>
          <w:tcPr>
            <w:tcW w:w="80" w:type="dxa"/>
            <w:vAlign w:val="bottom"/>
          </w:tcPr>
          <w:p>
            <w:pPr>
              <w:spacing w:after="0"/>
              <w:rPr>
                <w:sz w:val="8"/>
                <w:szCs w:val="8"/>
                <w:color w:val="auto"/>
              </w:rPr>
            </w:pPr>
          </w:p>
        </w:tc>
        <w:tc>
          <w:tcPr>
            <w:tcW w:w="3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91"/>
        </w:trPr>
        <w:tc>
          <w:tcPr>
            <w:tcW w:w="2940" w:type="dxa"/>
            <w:vAlign w:val="bottom"/>
          </w:tcPr>
          <w:p>
            <w:pPr>
              <w:ind w:left="20"/>
              <w:spacing w:after="0"/>
              <w:rPr>
                <w:sz w:val="20"/>
                <w:szCs w:val="20"/>
                <w:color w:val="auto"/>
              </w:rPr>
            </w:pPr>
            <w:r>
              <w:rPr>
                <w:rFonts w:ascii="Arial" w:cs="Arial" w:eastAsia="Arial" w:hAnsi="Arial"/>
                <w:sz w:val="13"/>
                <w:szCs w:val="13"/>
                <w:i w:val="1"/>
                <w:iCs w:val="1"/>
                <w:color w:val="auto"/>
              </w:rPr>
              <w:t>(In millions, except percentages)</w:t>
            </w:r>
          </w:p>
        </w:tc>
        <w:tc>
          <w:tcPr>
            <w:tcW w:w="120" w:type="dxa"/>
            <w:vAlign w:val="bottom"/>
          </w:tcPr>
          <w:p>
            <w:pPr>
              <w:spacing w:after="0"/>
              <w:rPr>
                <w:sz w:val="16"/>
                <w:szCs w:val="16"/>
                <w:color w:val="auto"/>
              </w:rPr>
            </w:pPr>
          </w:p>
        </w:tc>
        <w:tc>
          <w:tcPr>
            <w:tcW w:w="1120" w:type="dxa"/>
            <w:vAlign w:val="bottom"/>
          </w:tcPr>
          <w:p>
            <w:pPr>
              <w:jc w:val="center"/>
              <w:ind w:right="55"/>
              <w:spacing w:after="0"/>
              <w:rPr>
                <w:sz w:val="20"/>
                <w:szCs w:val="20"/>
                <w:color w:val="auto"/>
              </w:rPr>
            </w:pPr>
            <w:r>
              <w:rPr>
                <w:rFonts w:ascii="Arial" w:cs="Arial" w:eastAsia="Arial" w:hAnsi="Arial"/>
                <w:sz w:val="13"/>
                <w:szCs w:val="13"/>
                <w:b w:val="1"/>
                <w:bCs w:val="1"/>
                <w:color w:val="auto"/>
                <w:w w:val="96"/>
              </w:rPr>
              <w:t>2023</w:t>
            </w: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520" w:type="dxa"/>
            <w:vAlign w:val="bottom"/>
          </w:tcPr>
          <w:p>
            <w:pPr>
              <w:jc w:val="right"/>
              <w:ind w:right="292"/>
              <w:spacing w:after="0"/>
              <w:rPr>
                <w:sz w:val="20"/>
                <w:szCs w:val="20"/>
                <w:color w:val="auto"/>
              </w:rPr>
            </w:pPr>
            <w:r>
              <w:rPr>
                <w:rFonts w:ascii="Arial" w:cs="Arial" w:eastAsia="Arial" w:hAnsi="Arial"/>
                <w:sz w:val="13"/>
                <w:szCs w:val="13"/>
                <w:b w:val="1"/>
                <w:bCs w:val="1"/>
                <w:color w:val="auto"/>
              </w:rPr>
              <w:t>$</w:t>
            </w:r>
          </w:p>
        </w:tc>
        <w:tc>
          <w:tcPr>
            <w:tcW w:w="840" w:type="dxa"/>
            <w:vAlign w:val="bottom"/>
            <w:gridSpan w:val="2"/>
          </w:tcPr>
          <w:p>
            <w:pPr>
              <w:jc w:val="right"/>
              <w:ind w:right="300"/>
              <w:spacing w:after="0"/>
              <w:rPr>
                <w:sz w:val="20"/>
                <w:szCs w:val="20"/>
                <w:color w:val="auto"/>
              </w:rPr>
            </w:pPr>
            <w:r>
              <w:rPr>
                <w:rFonts w:ascii="Arial" w:cs="Arial" w:eastAsia="Arial" w:hAnsi="Arial"/>
                <w:sz w:val="13"/>
                <w:szCs w:val="13"/>
                <w:b w:val="1"/>
                <w:bCs w:val="1"/>
                <w:color w:val="auto"/>
              </w:rPr>
              <w:t>%</w:t>
            </w:r>
          </w:p>
        </w:tc>
        <w:tc>
          <w:tcPr>
            <w:tcW w:w="1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80" w:type="dxa"/>
            <w:vAlign w:val="bottom"/>
          </w:tcPr>
          <w:p>
            <w:pPr>
              <w:jc w:val="center"/>
              <w:ind w:right="55"/>
              <w:spacing w:after="0"/>
              <w:rPr>
                <w:sz w:val="20"/>
                <w:szCs w:val="20"/>
                <w:color w:val="auto"/>
              </w:rPr>
            </w:pPr>
            <w:r>
              <w:rPr>
                <w:rFonts w:ascii="Arial" w:cs="Arial" w:eastAsia="Arial" w:hAnsi="Arial"/>
                <w:sz w:val="13"/>
                <w:szCs w:val="13"/>
                <w:b w:val="1"/>
                <w:bCs w:val="1"/>
                <w:color w:val="auto"/>
                <w:w w:val="96"/>
              </w:rPr>
              <w:t>2022</w:t>
            </w:r>
          </w:p>
        </w:tc>
        <w:tc>
          <w:tcPr>
            <w:tcW w:w="80" w:type="dxa"/>
            <w:vAlign w:val="bottom"/>
          </w:tcPr>
          <w:p>
            <w:pPr>
              <w:spacing w:after="0"/>
              <w:rPr>
                <w:sz w:val="16"/>
                <w:szCs w:val="16"/>
                <w:color w:val="auto"/>
              </w:rPr>
            </w:pPr>
          </w:p>
        </w:tc>
        <w:tc>
          <w:tcPr>
            <w:tcW w:w="3180" w:type="dxa"/>
            <w:vAlign w:val="bottom"/>
          </w:tcPr>
          <w:p>
            <w:pPr>
              <w:ind w:left="860"/>
              <w:spacing w:after="0"/>
              <w:rPr>
                <w:sz w:val="20"/>
                <w:szCs w:val="20"/>
                <w:color w:val="auto"/>
              </w:rPr>
            </w:pPr>
            <w:r>
              <w:rPr>
                <w:rFonts w:ascii="Arial" w:cs="Arial" w:eastAsia="Arial" w:hAnsi="Arial"/>
                <w:sz w:val="13"/>
                <w:szCs w:val="13"/>
                <w:b w:val="1"/>
                <w:bCs w:val="1"/>
                <w:color w:val="auto"/>
              </w:rPr>
              <w:t>Management Comments</w:t>
            </w:r>
          </w:p>
        </w:tc>
        <w:tc>
          <w:tcPr>
            <w:tcW w:w="0" w:type="dxa"/>
            <w:vAlign w:val="bottom"/>
          </w:tcPr>
          <w:p>
            <w:pPr>
              <w:spacing w:after="0"/>
              <w:rPr>
                <w:sz w:val="1"/>
                <w:szCs w:val="1"/>
                <w:color w:val="auto"/>
              </w:rPr>
            </w:pPr>
          </w:p>
        </w:tc>
      </w:tr>
      <w:tr>
        <w:trPr>
          <w:trHeight w:val="167"/>
        </w:trPr>
        <w:tc>
          <w:tcPr>
            <w:tcW w:w="294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Net Revenue by Product Type:</w:t>
            </w:r>
          </w:p>
        </w:tc>
        <w:tc>
          <w:tcPr>
            <w:tcW w:w="120" w:type="dxa"/>
            <w:vAlign w:val="bottom"/>
            <w:tcBorders>
              <w:top w:val="single" w:sz="8" w:color="auto"/>
            </w:tcBorders>
            <w:shd w:val="clear" w:color="auto" w:fill="CCEEFF"/>
          </w:tcPr>
          <w:p>
            <w:pPr>
              <w:spacing w:after="0"/>
              <w:rPr>
                <w:sz w:val="14"/>
                <w:szCs w:val="14"/>
                <w:color w:val="auto"/>
              </w:rPr>
            </w:pPr>
          </w:p>
        </w:tc>
        <w:tc>
          <w:tcPr>
            <w:tcW w:w="112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140" w:type="dxa"/>
            <w:vAlign w:val="bottom"/>
            <w:tcBorders>
              <w:top w:val="single" w:sz="8" w:color="auto"/>
            </w:tcBorders>
            <w:shd w:val="clear" w:color="auto" w:fill="CCEEFF"/>
          </w:tcPr>
          <w:p>
            <w:pPr>
              <w:spacing w:after="0"/>
              <w:rPr>
                <w:sz w:val="14"/>
                <w:szCs w:val="14"/>
                <w:color w:val="auto"/>
              </w:rPr>
            </w:pPr>
          </w:p>
        </w:tc>
        <w:tc>
          <w:tcPr>
            <w:tcW w:w="52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760" w:type="dxa"/>
            <w:vAlign w:val="bottom"/>
            <w:tcBorders>
              <w:top w:val="single" w:sz="8" w:color="auto"/>
            </w:tcBorders>
            <w:shd w:val="clear" w:color="auto" w:fill="CCEEFF"/>
          </w:tcPr>
          <w:p>
            <w:pPr>
              <w:spacing w:after="0"/>
              <w:rPr>
                <w:sz w:val="14"/>
                <w:szCs w:val="14"/>
                <w:color w:val="auto"/>
              </w:rPr>
            </w:pPr>
          </w:p>
        </w:tc>
        <w:tc>
          <w:tcPr>
            <w:tcW w:w="18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120" w:type="dxa"/>
            <w:vAlign w:val="bottom"/>
            <w:tcBorders>
              <w:top w:val="single" w:sz="8" w:color="auto"/>
            </w:tcBorders>
            <w:shd w:val="clear" w:color="auto" w:fill="CCEEFF"/>
          </w:tcPr>
          <w:p>
            <w:pPr>
              <w:spacing w:after="0"/>
              <w:rPr>
                <w:sz w:val="14"/>
                <w:szCs w:val="14"/>
                <w:color w:val="auto"/>
              </w:rPr>
            </w:pPr>
          </w:p>
        </w:tc>
        <w:tc>
          <w:tcPr>
            <w:tcW w:w="108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318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4"/>
        </w:trPr>
        <w:tc>
          <w:tcPr>
            <w:tcW w:w="2940" w:type="dxa"/>
            <w:vAlign w:val="bottom"/>
          </w:tcPr>
          <w:p>
            <w:pPr>
              <w:ind w:left="300"/>
              <w:spacing w:after="0" w:line="144" w:lineRule="exact"/>
              <w:rPr>
                <w:sz w:val="20"/>
                <w:szCs w:val="20"/>
                <w:color w:val="auto"/>
              </w:rPr>
            </w:pPr>
            <w:r>
              <w:rPr>
                <w:rFonts w:ascii="Arial" w:cs="Arial" w:eastAsia="Arial" w:hAnsi="Arial"/>
                <w:sz w:val="14"/>
                <w:szCs w:val="14"/>
                <w:color w:val="auto"/>
              </w:rPr>
              <w:t>Design</w:t>
            </w:r>
          </w:p>
        </w:tc>
        <w:tc>
          <w:tcPr>
            <w:tcW w:w="120" w:type="dxa"/>
            <w:vAlign w:val="bottom"/>
          </w:tcPr>
          <w:p>
            <w:pPr>
              <w:jc w:val="right"/>
              <w:spacing w:after="0" w:line="144" w:lineRule="exact"/>
              <w:rPr>
                <w:sz w:val="20"/>
                <w:szCs w:val="20"/>
                <w:color w:val="auto"/>
              </w:rPr>
            </w:pPr>
            <w:r>
              <w:rPr>
                <w:rFonts w:ascii="Arial" w:cs="Arial" w:eastAsia="Arial" w:hAnsi="Arial"/>
                <w:sz w:val="14"/>
                <w:szCs w:val="14"/>
                <w:color w:val="auto"/>
                <w:w w:val="76"/>
              </w:rPr>
              <w:t>$</w:t>
            </w:r>
          </w:p>
        </w:tc>
        <w:tc>
          <w:tcPr>
            <w:tcW w:w="1120" w:type="dxa"/>
            <w:vAlign w:val="bottom"/>
          </w:tcPr>
          <w:p>
            <w:pPr>
              <w:jc w:val="right"/>
              <w:spacing w:after="0" w:line="144" w:lineRule="exact"/>
              <w:rPr>
                <w:sz w:val="20"/>
                <w:szCs w:val="20"/>
                <w:color w:val="auto"/>
              </w:rPr>
            </w:pPr>
            <w:r>
              <w:rPr>
                <w:rFonts w:ascii="Arial" w:cs="Arial" w:eastAsia="Arial" w:hAnsi="Arial"/>
                <w:sz w:val="14"/>
                <w:szCs w:val="14"/>
                <w:color w:val="auto"/>
              </w:rPr>
              <w:t>1,086</w:t>
            </w:r>
          </w:p>
        </w:tc>
        <w:tc>
          <w:tcPr>
            <w:tcW w:w="80" w:type="dxa"/>
            <w:vAlign w:val="bottom"/>
          </w:tcPr>
          <w:p>
            <w:pPr>
              <w:spacing w:after="0"/>
              <w:rPr>
                <w:sz w:val="12"/>
                <w:szCs w:val="12"/>
                <w:color w:val="auto"/>
              </w:rPr>
            </w:pPr>
          </w:p>
        </w:tc>
        <w:tc>
          <w:tcPr>
            <w:tcW w:w="14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520" w:type="dxa"/>
            <w:vAlign w:val="bottom"/>
          </w:tcPr>
          <w:p>
            <w:pPr>
              <w:jc w:val="right"/>
              <w:ind w:right="12"/>
              <w:spacing w:after="0" w:line="144" w:lineRule="exact"/>
              <w:rPr>
                <w:sz w:val="20"/>
                <w:szCs w:val="20"/>
                <w:color w:val="auto"/>
              </w:rPr>
            </w:pPr>
            <w:r>
              <w:rPr>
                <w:rFonts w:ascii="Arial" w:cs="Arial" w:eastAsia="Arial" w:hAnsi="Arial"/>
                <w:sz w:val="14"/>
                <w:szCs w:val="14"/>
                <w:color w:val="auto"/>
              </w:rPr>
              <w:t>82</w:t>
            </w:r>
          </w:p>
        </w:tc>
        <w:tc>
          <w:tcPr>
            <w:tcW w:w="840" w:type="dxa"/>
            <w:vAlign w:val="bottom"/>
            <w:gridSpan w:val="2"/>
          </w:tcPr>
          <w:p>
            <w:pPr>
              <w:jc w:val="right"/>
              <w:ind w:right="40"/>
              <w:spacing w:after="0" w:line="144" w:lineRule="exact"/>
              <w:rPr>
                <w:sz w:val="20"/>
                <w:szCs w:val="20"/>
                <w:color w:val="auto"/>
              </w:rPr>
            </w:pPr>
            <w:r>
              <w:rPr>
                <w:rFonts w:ascii="Arial" w:cs="Arial" w:eastAsia="Arial" w:hAnsi="Arial"/>
                <w:sz w:val="14"/>
                <w:szCs w:val="14"/>
                <w:color w:val="auto"/>
              </w:rPr>
              <w:t>8</w:t>
            </w:r>
          </w:p>
        </w:tc>
        <w:tc>
          <w:tcPr>
            <w:tcW w:w="180" w:type="dxa"/>
            <w:vAlign w:val="bottom"/>
          </w:tcPr>
          <w:p>
            <w:pPr>
              <w:jc w:val="right"/>
              <w:spacing w:after="0" w:line="144" w:lineRule="exact"/>
              <w:rPr>
                <w:sz w:val="20"/>
                <w:szCs w:val="20"/>
                <w:color w:val="auto"/>
              </w:rPr>
            </w:pPr>
            <w:r>
              <w:rPr>
                <w:rFonts w:ascii="Arial" w:cs="Arial" w:eastAsia="Arial" w:hAnsi="Arial"/>
                <w:sz w:val="14"/>
                <w:szCs w:val="14"/>
                <w:color w:val="auto"/>
              </w:rPr>
              <w:t>%</w:t>
            </w:r>
          </w:p>
        </w:tc>
        <w:tc>
          <w:tcPr>
            <w:tcW w:w="20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w:t>
            </w:r>
          </w:p>
        </w:tc>
        <w:tc>
          <w:tcPr>
            <w:tcW w:w="1080" w:type="dxa"/>
            <w:vAlign w:val="bottom"/>
          </w:tcPr>
          <w:p>
            <w:pPr>
              <w:jc w:val="right"/>
              <w:spacing w:after="0" w:line="144" w:lineRule="exact"/>
              <w:rPr>
                <w:sz w:val="20"/>
                <w:szCs w:val="20"/>
                <w:color w:val="auto"/>
              </w:rPr>
            </w:pPr>
            <w:r>
              <w:rPr>
                <w:rFonts w:ascii="Arial" w:cs="Arial" w:eastAsia="Arial" w:hAnsi="Arial"/>
                <w:sz w:val="14"/>
                <w:szCs w:val="14"/>
                <w:color w:val="auto"/>
              </w:rPr>
              <w:t>1,004</w:t>
            </w:r>
          </w:p>
        </w:tc>
        <w:tc>
          <w:tcPr>
            <w:tcW w:w="80" w:type="dxa"/>
            <w:vAlign w:val="bottom"/>
          </w:tcPr>
          <w:p>
            <w:pPr>
              <w:spacing w:after="0"/>
              <w:rPr>
                <w:sz w:val="12"/>
                <w:szCs w:val="12"/>
                <w:color w:val="auto"/>
              </w:rPr>
            </w:pPr>
          </w:p>
        </w:tc>
        <w:tc>
          <w:tcPr>
            <w:tcW w:w="3180" w:type="dxa"/>
            <w:vAlign w:val="bottom"/>
          </w:tcPr>
          <w:p>
            <w:pPr>
              <w:ind w:left="20"/>
              <w:spacing w:after="0" w:line="144" w:lineRule="exact"/>
              <w:rPr>
                <w:sz w:val="20"/>
                <w:szCs w:val="20"/>
                <w:color w:val="auto"/>
              </w:rPr>
            </w:pPr>
            <w:r>
              <w:rPr>
                <w:rFonts w:ascii="Arial" w:cs="Arial" w:eastAsia="Arial" w:hAnsi="Arial"/>
                <w:sz w:val="14"/>
                <w:szCs w:val="14"/>
                <w:color w:val="auto"/>
              </w:rPr>
              <w:t>Increase due to growth in AEC &amp; MFG collections,</w:t>
            </w:r>
          </w:p>
        </w:tc>
        <w:tc>
          <w:tcPr>
            <w:tcW w:w="0" w:type="dxa"/>
            <w:vAlign w:val="bottom"/>
          </w:tcPr>
          <w:p>
            <w:pPr>
              <w:spacing w:after="0"/>
              <w:rPr>
                <w:sz w:val="1"/>
                <w:szCs w:val="1"/>
                <w:color w:val="auto"/>
              </w:rPr>
            </w:pPr>
          </w:p>
        </w:tc>
      </w:tr>
      <w:tr>
        <w:trPr>
          <w:trHeight w:val="141"/>
        </w:trPr>
        <w:tc>
          <w:tcPr>
            <w:tcW w:w="29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0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3180" w:type="dxa"/>
            <w:vAlign w:val="bottom"/>
          </w:tcPr>
          <w:p>
            <w:pPr>
              <w:ind w:left="20"/>
              <w:spacing w:after="0" w:line="141" w:lineRule="exact"/>
              <w:rPr>
                <w:sz w:val="20"/>
                <w:szCs w:val="20"/>
                <w:color w:val="auto"/>
              </w:rPr>
            </w:pPr>
            <w:r>
              <w:rPr>
                <w:rFonts w:ascii="Arial" w:cs="Arial" w:eastAsia="Arial" w:hAnsi="Arial"/>
                <w:sz w:val="14"/>
                <w:szCs w:val="14"/>
                <w:color w:val="auto"/>
              </w:rPr>
              <w:t>AutoCAD Family and AutoCAD LT, and EBA</w:t>
            </w:r>
          </w:p>
        </w:tc>
        <w:tc>
          <w:tcPr>
            <w:tcW w:w="0" w:type="dxa"/>
            <w:vAlign w:val="bottom"/>
          </w:tcPr>
          <w:p>
            <w:pPr>
              <w:spacing w:after="0"/>
              <w:rPr>
                <w:sz w:val="1"/>
                <w:szCs w:val="1"/>
                <w:color w:val="auto"/>
              </w:rPr>
            </w:pPr>
          </w:p>
        </w:tc>
      </w:tr>
      <w:tr>
        <w:trPr>
          <w:trHeight w:val="182"/>
        </w:trPr>
        <w:tc>
          <w:tcPr>
            <w:tcW w:w="29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1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0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3180" w:type="dxa"/>
            <w:vAlign w:val="bottom"/>
          </w:tcPr>
          <w:p>
            <w:pPr>
              <w:ind w:left="20"/>
              <w:spacing w:after="0"/>
              <w:rPr>
                <w:sz w:val="20"/>
                <w:szCs w:val="20"/>
                <w:color w:val="auto"/>
              </w:rPr>
            </w:pPr>
            <w:r>
              <w:rPr>
                <w:rFonts w:ascii="Arial" w:cs="Arial" w:eastAsia="Arial" w:hAnsi="Arial"/>
                <w:sz w:val="14"/>
                <w:szCs w:val="14"/>
                <w:color w:val="auto"/>
              </w:rPr>
              <w:t>offerings.</w:t>
            </w:r>
          </w:p>
        </w:tc>
        <w:tc>
          <w:tcPr>
            <w:tcW w:w="0" w:type="dxa"/>
            <w:vAlign w:val="bottom"/>
          </w:tcPr>
          <w:p>
            <w:pPr>
              <w:spacing w:after="0"/>
              <w:rPr>
                <w:sz w:val="1"/>
                <w:szCs w:val="1"/>
                <w:color w:val="auto"/>
              </w:rPr>
            </w:pPr>
          </w:p>
        </w:tc>
      </w:tr>
      <w:tr>
        <w:trPr>
          <w:trHeight w:val="146"/>
        </w:trPr>
        <w:tc>
          <w:tcPr>
            <w:tcW w:w="294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Make</w:t>
            </w:r>
          </w:p>
        </w:tc>
        <w:tc>
          <w:tcPr>
            <w:tcW w:w="120" w:type="dxa"/>
            <w:vAlign w:val="bottom"/>
            <w:shd w:val="clear" w:color="auto" w:fill="CCEEFF"/>
          </w:tcPr>
          <w:p>
            <w:pPr>
              <w:spacing w:after="0"/>
              <w:rPr>
                <w:sz w:val="12"/>
                <w:szCs w:val="12"/>
                <w:color w:val="auto"/>
              </w:rPr>
            </w:pPr>
          </w:p>
        </w:tc>
        <w:tc>
          <w:tcPr>
            <w:tcW w:w="112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121</w:t>
            </w:r>
          </w:p>
        </w:tc>
        <w:tc>
          <w:tcPr>
            <w:tcW w:w="8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520" w:type="dxa"/>
            <w:vAlign w:val="bottom"/>
            <w:shd w:val="clear" w:color="auto" w:fill="CCEEFF"/>
          </w:tcPr>
          <w:p>
            <w:pPr>
              <w:jc w:val="right"/>
              <w:ind w:right="12"/>
              <w:spacing w:after="0" w:line="147" w:lineRule="exact"/>
              <w:rPr>
                <w:sz w:val="20"/>
                <w:szCs w:val="20"/>
                <w:color w:val="auto"/>
              </w:rPr>
            </w:pPr>
            <w:r>
              <w:rPr>
                <w:rFonts w:ascii="Arial" w:cs="Arial" w:eastAsia="Arial" w:hAnsi="Arial"/>
                <w:sz w:val="14"/>
                <w:szCs w:val="14"/>
                <w:color w:val="auto"/>
              </w:rPr>
              <w:t>18</w:t>
            </w:r>
          </w:p>
        </w:tc>
        <w:tc>
          <w:tcPr>
            <w:tcW w:w="840" w:type="dxa"/>
            <w:vAlign w:val="bottom"/>
            <w:gridSpan w:val="2"/>
            <w:shd w:val="clear" w:color="auto" w:fill="CCEEFF"/>
          </w:tcPr>
          <w:p>
            <w:pPr>
              <w:jc w:val="right"/>
              <w:ind w:right="40"/>
              <w:spacing w:after="0" w:line="147" w:lineRule="exact"/>
              <w:rPr>
                <w:sz w:val="20"/>
                <w:szCs w:val="20"/>
                <w:color w:val="auto"/>
              </w:rPr>
            </w:pPr>
            <w:r>
              <w:rPr>
                <w:rFonts w:ascii="Arial" w:cs="Arial" w:eastAsia="Arial" w:hAnsi="Arial"/>
                <w:sz w:val="14"/>
                <w:szCs w:val="14"/>
                <w:color w:val="auto"/>
              </w:rPr>
              <w:t>17</w:t>
            </w:r>
          </w:p>
        </w:tc>
        <w:tc>
          <w:tcPr>
            <w:tcW w:w="1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w:t>
            </w: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103</w:t>
            </w:r>
          </w:p>
        </w:tc>
        <w:tc>
          <w:tcPr>
            <w:tcW w:w="80" w:type="dxa"/>
            <w:vAlign w:val="bottom"/>
            <w:shd w:val="clear" w:color="auto" w:fill="CCEEFF"/>
          </w:tcPr>
          <w:p>
            <w:pPr>
              <w:spacing w:after="0"/>
              <w:rPr>
                <w:sz w:val="12"/>
                <w:szCs w:val="12"/>
                <w:color w:val="auto"/>
              </w:rPr>
            </w:pPr>
          </w:p>
        </w:tc>
        <w:tc>
          <w:tcPr>
            <w:tcW w:w="3180" w:type="dxa"/>
            <w:vAlign w:val="bottom"/>
            <w:shd w:val="clear" w:color="auto" w:fill="CCEEFF"/>
          </w:tcPr>
          <w:p>
            <w:pPr>
              <w:ind w:left="20"/>
              <w:spacing w:after="0" w:line="147" w:lineRule="exact"/>
              <w:rPr>
                <w:sz w:val="20"/>
                <w:szCs w:val="20"/>
                <w:color w:val="auto"/>
              </w:rPr>
            </w:pPr>
            <w:r>
              <w:rPr>
                <w:rFonts w:ascii="Arial" w:cs="Arial" w:eastAsia="Arial" w:hAnsi="Arial"/>
                <w:sz w:val="14"/>
                <w:szCs w:val="14"/>
                <w:color w:val="auto"/>
              </w:rPr>
              <w:t>Increase primarily due to growth in revenue from</w:t>
            </w:r>
          </w:p>
        </w:tc>
        <w:tc>
          <w:tcPr>
            <w:tcW w:w="0" w:type="dxa"/>
            <w:vAlign w:val="bottom"/>
          </w:tcPr>
          <w:p>
            <w:pPr>
              <w:spacing w:after="0"/>
              <w:rPr>
                <w:sz w:val="1"/>
                <w:szCs w:val="1"/>
                <w:color w:val="auto"/>
              </w:rPr>
            </w:pPr>
          </w:p>
        </w:tc>
      </w:tr>
      <w:tr>
        <w:trPr>
          <w:trHeight w:val="184"/>
        </w:trPr>
        <w:tc>
          <w:tcPr>
            <w:tcW w:w="294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1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52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76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08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3180" w:type="dxa"/>
            <w:vAlign w:val="bottom"/>
            <w:shd w:val="clear" w:color="auto" w:fill="CCEEFF"/>
          </w:tcPr>
          <w:p>
            <w:pPr>
              <w:ind w:left="20"/>
              <w:spacing w:after="0"/>
              <w:rPr>
                <w:sz w:val="20"/>
                <w:szCs w:val="20"/>
                <w:color w:val="auto"/>
              </w:rPr>
            </w:pPr>
            <w:r>
              <w:rPr>
                <w:rFonts w:ascii="Arial" w:cs="Arial" w:eastAsia="Arial" w:hAnsi="Arial"/>
                <w:sz w:val="14"/>
                <w:szCs w:val="14"/>
                <w:color w:val="auto"/>
              </w:rPr>
              <w:t>ACS, Fusion 360, and BIM 360 products.</w:t>
            </w:r>
          </w:p>
        </w:tc>
        <w:tc>
          <w:tcPr>
            <w:tcW w:w="0" w:type="dxa"/>
            <w:vAlign w:val="bottom"/>
          </w:tcPr>
          <w:p>
            <w:pPr>
              <w:spacing w:after="0"/>
              <w:rPr>
                <w:sz w:val="1"/>
                <w:szCs w:val="1"/>
                <w:color w:val="auto"/>
              </w:rPr>
            </w:pPr>
          </w:p>
        </w:tc>
      </w:tr>
      <w:tr>
        <w:trPr>
          <w:trHeight w:val="185"/>
        </w:trPr>
        <w:tc>
          <w:tcPr>
            <w:tcW w:w="2940" w:type="dxa"/>
            <w:vAlign w:val="bottom"/>
            <w:tcBorders>
              <w:bottom w:val="single" w:sz="8" w:color="CCEEFF"/>
            </w:tcBorders>
          </w:tcPr>
          <w:p>
            <w:pPr>
              <w:ind w:left="300"/>
              <w:spacing w:after="0"/>
              <w:rPr>
                <w:sz w:val="20"/>
                <w:szCs w:val="20"/>
                <w:color w:val="auto"/>
              </w:rPr>
            </w:pPr>
            <w:r>
              <w:rPr>
                <w:rFonts w:ascii="Arial" w:cs="Arial" w:eastAsia="Arial" w:hAnsi="Arial"/>
                <w:sz w:val="14"/>
                <w:szCs w:val="14"/>
                <w:color w:val="auto"/>
              </w:rPr>
              <w:t>Other</w:t>
            </w:r>
          </w:p>
        </w:tc>
        <w:tc>
          <w:tcPr>
            <w:tcW w:w="120" w:type="dxa"/>
            <w:vAlign w:val="bottom"/>
            <w:tcBorders>
              <w:bottom w:val="single" w:sz="8" w:color="auto"/>
            </w:tcBorders>
          </w:tcPr>
          <w:p>
            <w:pPr>
              <w:spacing w:after="0"/>
              <w:rPr>
                <w:sz w:val="16"/>
                <w:szCs w:val="16"/>
                <w:color w:val="auto"/>
              </w:rPr>
            </w:pPr>
          </w:p>
        </w:tc>
        <w:tc>
          <w:tcPr>
            <w:tcW w:w="1120" w:type="dxa"/>
            <w:vAlign w:val="bottom"/>
            <w:tcBorders>
              <w:bottom w:val="single" w:sz="8" w:color="auto"/>
            </w:tcBorders>
          </w:tcPr>
          <w:p>
            <w:pPr>
              <w:jc w:val="right"/>
              <w:ind w:right="15"/>
              <w:spacing w:after="0"/>
              <w:rPr>
                <w:sz w:val="20"/>
                <w:szCs w:val="20"/>
                <w:color w:val="auto"/>
              </w:rPr>
            </w:pPr>
            <w:r>
              <w:rPr>
                <w:rFonts w:ascii="Arial" w:cs="Arial" w:eastAsia="Arial" w:hAnsi="Arial"/>
                <w:sz w:val="14"/>
                <w:szCs w:val="14"/>
                <w:color w:val="auto"/>
              </w:rPr>
              <w:t>62</w:t>
            </w:r>
          </w:p>
        </w:tc>
        <w:tc>
          <w:tcPr>
            <w:tcW w:w="80" w:type="dxa"/>
            <w:vAlign w:val="bottom"/>
            <w:tcBorders>
              <w:bottom w:val="single" w:sz="8" w:color="CCEEFF"/>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5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(1)</w:t>
            </w:r>
          </w:p>
        </w:tc>
        <w:tc>
          <w:tcPr>
            <w:tcW w:w="1020" w:type="dxa"/>
            <w:vAlign w:val="bottom"/>
            <w:tcBorders>
              <w:bottom w:val="single" w:sz="8" w:color="CCEEFF"/>
            </w:tcBorders>
            <w:gridSpan w:val="3"/>
          </w:tcPr>
          <w:p>
            <w:pPr>
              <w:jc w:val="right"/>
              <w:spacing w:after="0"/>
              <w:rPr>
                <w:sz w:val="20"/>
                <w:szCs w:val="20"/>
                <w:color w:val="auto"/>
              </w:rPr>
            </w:pPr>
            <w:r>
              <w:rPr>
                <w:rFonts w:ascii="Arial" w:cs="Arial" w:eastAsia="Arial" w:hAnsi="Arial"/>
                <w:sz w:val="14"/>
                <w:szCs w:val="14"/>
                <w:color w:val="auto"/>
              </w:rPr>
              <w:t>(2) %</w:t>
            </w:r>
          </w:p>
        </w:tc>
        <w:tc>
          <w:tcPr>
            <w:tcW w:w="80" w:type="dxa"/>
            <w:vAlign w:val="bottom"/>
            <w:tcBorders>
              <w:bottom w:val="single" w:sz="8" w:color="CCEEFF"/>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63</w:t>
            </w:r>
          </w:p>
        </w:tc>
        <w:tc>
          <w:tcPr>
            <w:tcW w:w="80" w:type="dxa"/>
            <w:vAlign w:val="bottom"/>
            <w:tcBorders>
              <w:bottom w:val="single" w:sz="8" w:color="CCEEFF"/>
            </w:tcBorders>
          </w:tcPr>
          <w:p>
            <w:pPr>
              <w:spacing w:after="0"/>
              <w:rPr>
                <w:sz w:val="16"/>
                <w:szCs w:val="16"/>
                <w:color w:val="auto"/>
              </w:rPr>
            </w:pPr>
          </w:p>
        </w:tc>
        <w:tc>
          <w:tcPr>
            <w:tcW w:w="3180" w:type="dxa"/>
            <w:vAlign w:val="bottom"/>
            <w:tcBorders>
              <w:bottom w:val="single" w:sz="8" w:color="CCEEFF"/>
            </w:tcBorders>
          </w:tcPr>
          <w:p>
            <w:pPr>
              <w:spacing w:after="0"/>
              <w:rPr>
                <w:sz w:val="16"/>
                <w:szCs w:val="16"/>
                <w:color w:val="auto"/>
              </w:rPr>
            </w:pPr>
          </w:p>
        </w:tc>
        <w:tc>
          <w:tcPr>
            <w:tcW w:w="0" w:type="dxa"/>
            <w:vAlign w:val="bottom"/>
          </w:tcPr>
          <w:p>
            <w:pPr>
              <w:spacing w:after="0"/>
              <w:rPr>
                <w:sz w:val="1"/>
                <w:szCs w:val="1"/>
                <w:color w:val="auto"/>
              </w:rPr>
            </w:pPr>
          </w:p>
        </w:tc>
      </w:tr>
      <w:tr>
        <w:trPr>
          <w:trHeight w:val="202"/>
        </w:trPr>
        <w:tc>
          <w:tcPr>
            <w:tcW w:w="2940" w:type="dxa"/>
            <w:vAlign w:val="bottom"/>
            <w:shd w:val="clear" w:color="auto" w:fill="CCEEFF"/>
          </w:tcPr>
          <w:p>
            <w:pPr>
              <w:ind w:left="20"/>
              <w:spacing w:after="0"/>
              <w:rPr>
                <w:sz w:val="20"/>
                <w:szCs w:val="20"/>
                <w:color w:val="auto"/>
              </w:rPr>
            </w:pPr>
            <w:r>
              <w:rPr>
                <w:rFonts w:ascii="Arial" w:cs="Arial" w:eastAsia="Arial" w:hAnsi="Arial"/>
                <w:sz w:val="14"/>
                <w:szCs w:val="14"/>
                <w:color w:val="auto"/>
              </w:rPr>
              <w:t>Total Net Revenue</w:t>
            </w:r>
          </w:p>
        </w:tc>
        <w:tc>
          <w:tcPr>
            <w:tcW w:w="12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1,269</w:t>
            </w:r>
          </w:p>
        </w:tc>
        <w:tc>
          <w:tcPr>
            <w:tcW w:w="80" w:type="dxa"/>
            <w:vAlign w:val="bottom"/>
            <w:shd w:val="clear" w:color="auto" w:fill="CCEEFF"/>
          </w:tcPr>
          <w:p>
            <w:pPr>
              <w:spacing w:after="0"/>
              <w:rPr>
                <w:sz w:val="17"/>
                <w:szCs w:val="17"/>
                <w:color w:val="auto"/>
              </w:rPr>
            </w:pPr>
          </w:p>
        </w:tc>
        <w:tc>
          <w:tcPr>
            <w:tcW w:w="1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52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99</w:t>
            </w:r>
          </w:p>
        </w:tc>
        <w:tc>
          <w:tcPr>
            <w:tcW w:w="840" w:type="dxa"/>
            <w:vAlign w:val="bottom"/>
            <w:gridSpan w:val="2"/>
            <w:shd w:val="clear" w:color="auto" w:fill="CCEEFF"/>
          </w:tcPr>
          <w:p>
            <w:pPr>
              <w:jc w:val="right"/>
              <w:ind w:right="40"/>
              <w:spacing w:after="0"/>
              <w:rPr>
                <w:sz w:val="20"/>
                <w:szCs w:val="20"/>
                <w:color w:val="auto"/>
              </w:rPr>
            </w:pPr>
            <w:r>
              <w:rPr>
                <w:rFonts w:ascii="Arial" w:cs="Arial" w:eastAsia="Arial" w:hAnsi="Arial"/>
                <w:sz w:val="14"/>
                <w:szCs w:val="14"/>
                <w:color w:val="auto"/>
              </w:rPr>
              <w:t>8</w:t>
            </w:r>
          </w:p>
        </w:tc>
        <w:tc>
          <w:tcPr>
            <w:tcW w:w="1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20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1,170</w:t>
            </w:r>
          </w:p>
        </w:tc>
        <w:tc>
          <w:tcPr>
            <w:tcW w:w="80" w:type="dxa"/>
            <w:vAlign w:val="bottom"/>
            <w:shd w:val="clear" w:color="auto" w:fill="CCEEFF"/>
          </w:tcPr>
          <w:p>
            <w:pPr>
              <w:spacing w:after="0"/>
              <w:rPr>
                <w:sz w:val="17"/>
                <w:szCs w:val="17"/>
                <w:color w:val="auto"/>
              </w:rPr>
            </w:pPr>
          </w:p>
        </w:tc>
        <w:tc>
          <w:tcPr>
            <w:tcW w:w="3180" w:type="dxa"/>
            <w:vAlign w:val="bottom"/>
            <w:shd w:val="clear" w:color="auto" w:fill="CCEEFF"/>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2940" w:type="dxa"/>
            <w:vAlign w:val="bottom"/>
            <w:tcBorders>
              <w:top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760" w:type="dxa"/>
            <w:vAlign w:val="bottom"/>
            <w:tcBorders>
              <w:top w:val="single" w:sz="8" w:color="CCEEFF"/>
            </w:tcBorders>
          </w:tcPr>
          <w:p>
            <w:pPr>
              <w:spacing w:after="0" w:line="20" w:lineRule="exact"/>
              <w:rPr>
                <w:sz w:val="1"/>
                <w:szCs w:val="1"/>
                <w:color w:val="auto"/>
              </w:rPr>
            </w:pPr>
          </w:p>
        </w:tc>
        <w:tc>
          <w:tcPr>
            <w:tcW w:w="180" w:type="dxa"/>
            <w:vAlign w:val="bottom"/>
            <w:tcBorders>
              <w:top w:val="single" w:sz="8" w:color="CCEEFF"/>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0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3180" w:type="dxa"/>
            <w:vAlign w:val="bottom"/>
            <w:tcBorders>
              <w:top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56"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Cost of Revenue and Operating Expenses</w:t>
      </w:r>
    </w:p>
    <w:p>
      <w:pPr>
        <w:spacing w:after="0" w:line="232" w:lineRule="exact"/>
        <w:rPr>
          <w:sz w:val="20"/>
          <w:szCs w:val="20"/>
          <w:color w:val="auto"/>
        </w:rPr>
      </w:pPr>
    </w:p>
    <w:p>
      <w:pPr>
        <w:ind w:right="240" w:firstLine="351"/>
        <w:spacing w:after="0" w:line="253" w:lineRule="auto"/>
        <w:rPr>
          <w:sz w:val="20"/>
          <w:szCs w:val="20"/>
          <w:color w:val="auto"/>
        </w:rPr>
      </w:pPr>
      <w:r>
        <w:rPr>
          <w:rFonts w:ascii="Arial" w:cs="Arial" w:eastAsia="Arial" w:hAnsi="Arial"/>
          <w:sz w:val="15"/>
          <w:szCs w:val="15"/>
          <w:color w:val="auto"/>
        </w:rPr>
        <w:t>Cost of subscription and maintenance revenue includes the labor costs of providing product support to our subscription and maintenance customers, SaaS vendor costs and allocated IT costs, facilities costs, professional services fees related to operating our network and cloud infrastructure, royalties, depreciation expense and operating lease payments associated with computer equipment, data center costs, salaries, related expenses of network operations, stock-based compensation expense, and gains and losses on our operating expense cash flow hedges.</w:t>
      </w:r>
    </w:p>
    <w:p>
      <w:pPr>
        <w:spacing w:after="0" w:line="198" w:lineRule="exact"/>
        <w:rPr>
          <w:sz w:val="20"/>
          <w:szCs w:val="20"/>
          <w:color w:val="auto"/>
        </w:rPr>
      </w:pPr>
    </w:p>
    <w:p>
      <w:pPr>
        <w:ind w:firstLine="351"/>
        <w:spacing w:after="0" w:line="257" w:lineRule="auto"/>
        <w:rPr>
          <w:sz w:val="20"/>
          <w:szCs w:val="20"/>
          <w:color w:val="auto"/>
        </w:rPr>
      </w:pPr>
      <w:r>
        <w:rPr>
          <w:rFonts w:ascii="Arial" w:cs="Arial" w:eastAsia="Arial" w:hAnsi="Arial"/>
          <w:sz w:val="15"/>
          <w:szCs w:val="15"/>
          <w:color w:val="auto"/>
        </w:rPr>
        <w:t>Cost of other revenue includes labor costs associated with product setup, costs of consulting and training services contracts, and collaborative project management services contracts. Cost of other revenue also includes stock- based compensation expense, overhead charges, allocated IT and facilities costs, professional services fees, and gains and losses on our operating expense cash flow hedges.</w:t>
      </w:r>
    </w:p>
    <w:p>
      <w:pPr>
        <w:spacing w:after="0" w:line="196" w:lineRule="exact"/>
        <w:rPr>
          <w:sz w:val="20"/>
          <w:szCs w:val="20"/>
          <w:color w:val="auto"/>
        </w:rPr>
      </w:pPr>
    </w:p>
    <w:p>
      <w:pPr>
        <w:ind w:right="20" w:firstLine="351"/>
        <w:spacing w:after="0" w:line="257" w:lineRule="auto"/>
        <w:rPr>
          <w:sz w:val="20"/>
          <w:szCs w:val="20"/>
          <w:color w:val="auto"/>
        </w:rPr>
      </w:pPr>
      <w:r>
        <w:rPr>
          <w:rFonts w:ascii="Arial" w:cs="Arial" w:eastAsia="Arial" w:hAnsi="Arial"/>
          <w:sz w:val="15"/>
          <w:szCs w:val="15"/>
          <w:color w:val="auto"/>
        </w:rPr>
        <w:t>Cost of revenue, at least over the near term, is affected by labor costs, hosting costs for our cloud offerings, the volume and mix of product sales, fluctuations in consulting costs, amortization of developed technology, new customer support offerings, royalty rates for licensed technology embedded in our products, stock-based compensation expense, and gains and losses on our operating expense cash flow hedges.</w:t>
      </w:r>
    </w:p>
    <w:p>
      <w:pPr>
        <w:spacing w:after="0" w:line="196" w:lineRule="exact"/>
        <w:rPr>
          <w:sz w:val="20"/>
          <w:szCs w:val="20"/>
          <w:color w:val="auto"/>
        </w:rPr>
      </w:pPr>
    </w:p>
    <w:p>
      <w:pPr>
        <w:ind w:right="40" w:firstLine="351"/>
        <w:spacing w:after="0" w:line="251" w:lineRule="auto"/>
        <w:rPr>
          <w:sz w:val="20"/>
          <w:szCs w:val="20"/>
          <w:color w:val="auto"/>
        </w:rPr>
      </w:pPr>
      <w:r>
        <w:rPr>
          <w:rFonts w:ascii="Arial" w:cs="Arial" w:eastAsia="Arial" w:hAnsi="Arial"/>
          <w:sz w:val="15"/>
          <w:szCs w:val="15"/>
          <w:color w:val="auto"/>
        </w:rPr>
        <w:t>Marketing and sales expenses include salaries, bonuses, benefits, and stock- based compensation expense for our marketing and sales employees, the expense of travel, entertainment, and training for such personnel, sales and dealer commissions, and the costs of programs aimed at increasing revenue, such as advertising, trade shows and expositions, and various sales and promotional programs. Marketing and sales expenses also include SaaS vendor costs and allocated IT costs, payment processing fees, the cost of supplies and equipment, gains and losses on our operating expense cash flow hedges, facilities costs, and labor costs associated with sales and order management.</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4" w:right="660" w:bottom="1440" w:gutter="0" w:footer="0" w:header="0"/>
        </w:sectPr>
      </w:pPr>
    </w:p>
    <w:bookmarkStart w:id="38" w:name="page39"/>
    <w:bookmarkEnd w:id="38"/>
    <w:p>
      <w:pPr>
        <w:jc w:val="both"/>
        <w:ind w:right="20" w:firstLine="387"/>
        <w:spacing w:after="0" w:line="253" w:lineRule="auto"/>
        <w:rPr>
          <w:sz w:val="20"/>
          <w:szCs w:val="20"/>
          <w:color w:val="auto"/>
        </w:rPr>
      </w:pPr>
      <w:r>
        <w:rPr>
          <w:rFonts w:ascii="Arial" w:cs="Arial" w:eastAsia="Arial" w:hAnsi="Arial"/>
          <w:sz w:val="15"/>
          <w:szCs w:val="15"/>
          <w:color w:val="auto"/>
        </w:rPr>
        <w:t>Research and development expenses, which are expensed as incurred, consist primarily of salaries, bonuses, benefits, and stock-based compensation expense for research and development employees, the expense of travel, entertainment, and training for such personnel, professional services such as fees paid to software development firms and independent contractors, SaaS vendor costs and allocated IT costs, gains and losses on our operating expense cash flow hedges, and facilities costs.</w:t>
      </w:r>
    </w:p>
    <w:p>
      <w:pPr>
        <w:spacing w:after="0" w:line="198" w:lineRule="exact"/>
        <w:rPr>
          <w:sz w:val="20"/>
          <w:szCs w:val="20"/>
          <w:color w:val="auto"/>
        </w:rPr>
      </w:pPr>
    </w:p>
    <w:p>
      <w:pPr>
        <w:ind w:right="40" w:firstLine="387"/>
        <w:spacing w:after="0" w:line="253" w:lineRule="auto"/>
        <w:rPr>
          <w:sz w:val="20"/>
          <w:szCs w:val="20"/>
          <w:color w:val="auto"/>
        </w:rPr>
      </w:pPr>
      <w:r>
        <w:rPr>
          <w:rFonts w:ascii="Arial" w:cs="Arial" w:eastAsia="Arial" w:hAnsi="Arial"/>
          <w:sz w:val="15"/>
          <w:szCs w:val="15"/>
          <w:color w:val="auto"/>
        </w:rPr>
        <w:t>General and administrative expenses include salaries, bonuses, benefits, and stock-based compensation expense for our CEO, finance, human resources, and legal employees, as well as professional fees for legal and accounting services, SaaS vendor costs and net IT costs, certain foreign business taxes, gains and losses on our operating expense cash flow hedges, expense of travel, entertainment, and training, facilities costs, acquisition-related costs, and the cost of supplies and equipment.</w:t>
      </w:r>
    </w:p>
    <w:p>
      <w:pPr>
        <w:spacing w:after="0" w:line="220"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30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80" w:type="dxa"/>
            <w:vAlign w:val="bottom"/>
          </w:tcPr>
          <w:p>
            <w:pPr>
              <w:jc w:val="center"/>
              <w:ind w:right="52"/>
              <w:spacing w:after="0"/>
              <w:rPr>
                <w:sz w:val="20"/>
                <w:szCs w:val="20"/>
                <w:color w:val="auto"/>
              </w:rPr>
            </w:pPr>
            <w:r>
              <w:rPr>
                <w:rFonts w:ascii="Arial" w:cs="Arial" w:eastAsia="Arial" w:hAnsi="Arial"/>
                <w:sz w:val="13"/>
                <w:szCs w:val="13"/>
                <w:b w:val="1"/>
                <w:bCs w:val="1"/>
                <w:color w:val="auto"/>
              </w:rPr>
              <w:t>Three</w:t>
            </w:r>
          </w:p>
        </w:tc>
        <w:tc>
          <w:tcPr>
            <w:tcW w:w="100" w:type="dxa"/>
            <w:vAlign w:val="bottom"/>
          </w:tcPr>
          <w:p>
            <w:pPr>
              <w:spacing w:after="0"/>
              <w:rPr>
                <w:sz w:val="13"/>
                <w:szCs w:val="13"/>
                <w:color w:val="auto"/>
              </w:rPr>
            </w:pPr>
          </w:p>
        </w:tc>
        <w:tc>
          <w:tcPr>
            <w:tcW w:w="1360" w:type="dxa"/>
            <w:vAlign w:val="bottom"/>
            <w:gridSpan w:val="4"/>
            <w:vMerge w:val="restart"/>
          </w:tcPr>
          <w:p>
            <w:pPr>
              <w:jc w:val="right"/>
              <w:ind w:right="40"/>
              <w:spacing w:after="0"/>
              <w:rPr>
                <w:sz w:val="20"/>
                <w:szCs w:val="20"/>
                <w:color w:val="auto"/>
              </w:rPr>
            </w:pPr>
            <w:r>
              <w:rPr>
                <w:rFonts w:ascii="Arial" w:cs="Arial" w:eastAsia="Arial" w:hAnsi="Arial"/>
                <w:sz w:val="13"/>
                <w:szCs w:val="13"/>
                <w:b w:val="1"/>
                <w:bCs w:val="1"/>
                <w:color w:val="auto"/>
              </w:rPr>
              <w:t>Change compared to</w:t>
            </w: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60" w:type="dxa"/>
            <w:vAlign w:val="bottom"/>
          </w:tcPr>
          <w:p>
            <w:pPr>
              <w:jc w:val="center"/>
              <w:ind w:right="32"/>
              <w:spacing w:after="0"/>
              <w:rPr>
                <w:sz w:val="20"/>
                <w:szCs w:val="20"/>
                <w:color w:val="auto"/>
              </w:rPr>
            </w:pPr>
            <w:r>
              <w:rPr>
                <w:rFonts w:ascii="Arial" w:cs="Arial" w:eastAsia="Arial" w:hAnsi="Arial"/>
                <w:sz w:val="13"/>
                <w:szCs w:val="13"/>
                <w:b w:val="1"/>
                <w:bCs w:val="1"/>
                <w:color w:val="auto"/>
              </w:rPr>
              <w:t>Three</w:t>
            </w:r>
          </w:p>
        </w:tc>
        <w:tc>
          <w:tcPr>
            <w:tcW w:w="100" w:type="dxa"/>
            <w:vAlign w:val="bottom"/>
          </w:tcPr>
          <w:p>
            <w:pPr>
              <w:spacing w:after="0"/>
              <w:rPr>
                <w:sz w:val="13"/>
                <w:szCs w:val="13"/>
                <w:color w:val="auto"/>
              </w:rPr>
            </w:pPr>
          </w:p>
        </w:tc>
        <w:tc>
          <w:tcPr>
            <w:tcW w:w="43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9"/>
        </w:trPr>
        <w:tc>
          <w:tcPr>
            <w:tcW w:w="30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80" w:type="dxa"/>
            <w:vAlign w:val="bottom"/>
          </w:tcPr>
          <w:p>
            <w:pPr>
              <w:jc w:val="center"/>
              <w:ind w:right="52"/>
              <w:spacing w:after="0" w:line="129" w:lineRule="exact"/>
              <w:rPr>
                <w:sz w:val="20"/>
                <w:szCs w:val="20"/>
                <w:color w:val="auto"/>
              </w:rPr>
            </w:pPr>
            <w:r>
              <w:rPr>
                <w:rFonts w:ascii="Arial" w:cs="Arial" w:eastAsia="Arial" w:hAnsi="Arial"/>
                <w:sz w:val="13"/>
                <w:szCs w:val="13"/>
                <w:b w:val="1"/>
                <w:bCs w:val="1"/>
                <w:color w:val="auto"/>
                <w:w w:val="95"/>
              </w:rPr>
              <w:t>Months</w:t>
            </w:r>
          </w:p>
        </w:tc>
        <w:tc>
          <w:tcPr>
            <w:tcW w:w="100" w:type="dxa"/>
            <w:vAlign w:val="bottom"/>
          </w:tcPr>
          <w:p>
            <w:pPr>
              <w:spacing w:after="0"/>
              <w:rPr>
                <w:sz w:val="11"/>
                <w:szCs w:val="11"/>
                <w:color w:val="auto"/>
              </w:rPr>
            </w:pPr>
          </w:p>
        </w:tc>
        <w:tc>
          <w:tcPr>
            <w:tcW w:w="1360" w:type="dxa"/>
            <w:vAlign w:val="bottom"/>
            <w:gridSpan w:val="4"/>
            <w:vMerge w:val="continue"/>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60" w:type="dxa"/>
            <w:vAlign w:val="bottom"/>
          </w:tcPr>
          <w:p>
            <w:pPr>
              <w:jc w:val="center"/>
              <w:ind w:right="52"/>
              <w:spacing w:after="0" w:line="129" w:lineRule="exact"/>
              <w:rPr>
                <w:sz w:val="20"/>
                <w:szCs w:val="20"/>
                <w:color w:val="auto"/>
              </w:rPr>
            </w:pPr>
            <w:r>
              <w:rPr>
                <w:rFonts w:ascii="Arial" w:cs="Arial" w:eastAsia="Arial" w:hAnsi="Arial"/>
                <w:sz w:val="13"/>
                <w:szCs w:val="13"/>
                <w:b w:val="1"/>
                <w:bCs w:val="1"/>
                <w:color w:val="auto"/>
                <w:w w:val="99"/>
              </w:rPr>
              <w:t>Months</w:t>
            </w:r>
          </w:p>
        </w:tc>
        <w:tc>
          <w:tcPr>
            <w:tcW w:w="100" w:type="dxa"/>
            <w:vAlign w:val="bottom"/>
          </w:tcPr>
          <w:p>
            <w:pPr>
              <w:spacing w:after="0"/>
              <w:rPr>
                <w:sz w:val="11"/>
                <w:szCs w:val="11"/>
                <w:color w:val="auto"/>
              </w:rPr>
            </w:pPr>
          </w:p>
        </w:tc>
        <w:tc>
          <w:tcPr>
            <w:tcW w:w="43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6"/>
        </w:trPr>
        <w:tc>
          <w:tcPr>
            <w:tcW w:w="302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jc w:val="center"/>
              <w:ind w:right="52"/>
              <w:spacing w:after="0"/>
              <w:rPr>
                <w:sz w:val="20"/>
                <w:szCs w:val="20"/>
                <w:color w:val="auto"/>
              </w:rPr>
            </w:pPr>
            <w:r>
              <w:rPr>
                <w:rFonts w:ascii="Arial" w:cs="Arial" w:eastAsia="Arial" w:hAnsi="Arial"/>
                <w:sz w:val="13"/>
                <w:szCs w:val="13"/>
                <w:b w:val="1"/>
                <w:bCs w:val="1"/>
                <w:color w:val="auto"/>
              </w:rPr>
              <w:t>Ended</w:t>
            </w:r>
          </w:p>
        </w:tc>
        <w:tc>
          <w:tcPr>
            <w:tcW w:w="100" w:type="dxa"/>
            <w:vAlign w:val="bottom"/>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20" w:type="dxa"/>
            <w:vAlign w:val="bottom"/>
            <w:tcBorders>
              <w:bottom w:val="single" w:sz="8" w:color="auto"/>
            </w:tcBorders>
            <w:gridSpan w:val="3"/>
          </w:tcPr>
          <w:p>
            <w:pPr>
              <w:jc w:val="right"/>
              <w:ind w:right="200"/>
              <w:spacing w:after="0"/>
              <w:rPr>
                <w:sz w:val="20"/>
                <w:szCs w:val="20"/>
                <w:color w:val="auto"/>
              </w:rPr>
            </w:pPr>
            <w:r>
              <w:rPr>
                <w:rFonts w:ascii="Arial" w:cs="Arial" w:eastAsia="Arial" w:hAnsi="Arial"/>
                <w:sz w:val="13"/>
                <w:szCs w:val="13"/>
                <w:b w:val="1"/>
                <w:bCs w:val="1"/>
                <w:color w:val="auto"/>
              </w:rPr>
              <w:t>prior fiscal year</w:t>
            </w:r>
          </w:p>
        </w:tc>
        <w:tc>
          <w:tcPr>
            <w:tcW w:w="8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jc w:val="center"/>
              <w:ind w:right="32"/>
              <w:spacing w:after="0"/>
              <w:rPr>
                <w:sz w:val="20"/>
                <w:szCs w:val="20"/>
                <w:color w:val="auto"/>
              </w:rPr>
            </w:pPr>
            <w:r>
              <w:rPr>
                <w:rFonts w:ascii="Arial" w:cs="Arial" w:eastAsia="Arial" w:hAnsi="Arial"/>
                <w:sz w:val="13"/>
                <w:szCs w:val="13"/>
                <w:b w:val="1"/>
                <w:bCs w:val="1"/>
                <w:color w:val="auto"/>
              </w:rPr>
              <w:t>Ended</w:t>
            </w:r>
          </w:p>
        </w:tc>
        <w:tc>
          <w:tcPr>
            <w:tcW w:w="100" w:type="dxa"/>
            <w:vAlign w:val="bottom"/>
          </w:tcPr>
          <w:p>
            <w:pPr>
              <w:spacing w:after="0"/>
              <w:rPr>
                <w:sz w:val="15"/>
                <w:szCs w:val="15"/>
                <w:color w:val="auto"/>
              </w:rPr>
            </w:pPr>
          </w:p>
        </w:tc>
        <w:tc>
          <w:tcPr>
            <w:tcW w:w="43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2"/>
        </w:trPr>
        <w:tc>
          <w:tcPr>
            <w:tcW w:w="3020" w:type="dxa"/>
            <w:vAlign w:val="bottom"/>
            <w:vMerge w:val="restart"/>
          </w:tcPr>
          <w:p>
            <w:pPr>
              <w:ind w:left="20"/>
              <w:spacing w:after="0"/>
              <w:rPr>
                <w:sz w:val="20"/>
                <w:szCs w:val="20"/>
                <w:color w:val="auto"/>
              </w:rPr>
            </w:pPr>
            <w:r>
              <w:rPr>
                <w:rFonts w:ascii="Arial" w:cs="Arial" w:eastAsia="Arial" w:hAnsi="Arial"/>
                <w:sz w:val="13"/>
                <w:szCs w:val="13"/>
                <w:i w:val="1"/>
                <w:iCs w:val="1"/>
                <w:color w:val="auto"/>
              </w:rPr>
              <w:t>(In millions, except percentages)</w:t>
            </w:r>
          </w:p>
        </w:tc>
        <w:tc>
          <w:tcPr>
            <w:tcW w:w="120" w:type="dxa"/>
            <w:vAlign w:val="bottom"/>
          </w:tcPr>
          <w:p>
            <w:pPr>
              <w:spacing w:after="0"/>
              <w:rPr>
                <w:sz w:val="11"/>
                <w:szCs w:val="11"/>
                <w:color w:val="auto"/>
              </w:rPr>
            </w:pPr>
          </w:p>
        </w:tc>
        <w:tc>
          <w:tcPr>
            <w:tcW w:w="680" w:type="dxa"/>
            <w:vAlign w:val="bottom"/>
          </w:tcPr>
          <w:p>
            <w:pPr>
              <w:jc w:val="center"/>
              <w:ind w:right="52"/>
              <w:spacing w:after="0" w:line="133" w:lineRule="exact"/>
              <w:rPr>
                <w:sz w:val="20"/>
                <w:szCs w:val="20"/>
                <w:color w:val="auto"/>
              </w:rPr>
            </w:pPr>
            <w:r>
              <w:rPr>
                <w:rFonts w:ascii="Arial" w:cs="Arial" w:eastAsia="Arial" w:hAnsi="Arial"/>
                <w:sz w:val="13"/>
                <w:szCs w:val="13"/>
                <w:b w:val="1"/>
                <w:bCs w:val="1"/>
                <w:color w:val="auto"/>
              </w:rPr>
              <w:t>April 30,</w:t>
            </w: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480" w:type="dxa"/>
            <w:vAlign w:val="bottom"/>
            <w:vMerge w:val="restart"/>
          </w:tcPr>
          <w:p>
            <w:pPr>
              <w:jc w:val="right"/>
              <w:ind w:right="271"/>
              <w:spacing w:after="0"/>
              <w:rPr>
                <w:sz w:val="20"/>
                <w:szCs w:val="20"/>
                <w:color w:val="auto"/>
              </w:rPr>
            </w:pPr>
            <w:r>
              <w:rPr>
                <w:rFonts w:ascii="Arial" w:cs="Arial" w:eastAsia="Arial" w:hAnsi="Arial"/>
                <w:sz w:val="13"/>
                <w:szCs w:val="13"/>
                <w:b w:val="1"/>
                <w:bCs w:val="1"/>
                <w:color w:val="auto"/>
              </w:rPr>
              <w:t>$</w:t>
            </w:r>
          </w:p>
        </w:tc>
        <w:tc>
          <w:tcPr>
            <w:tcW w:w="740" w:type="dxa"/>
            <w:vAlign w:val="bottom"/>
            <w:gridSpan w:val="2"/>
            <w:vMerge w:val="restart"/>
          </w:tcPr>
          <w:p>
            <w:pPr>
              <w:jc w:val="right"/>
              <w:ind w:right="340"/>
              <w:spacing w:after="0"/>
              <w:rPr>
                <w:sz w:val="20"/>
                <w:szCs w:val="20"/>
                <w:color w:val="auto"/>
              </w:rPr>
            </w:pPr>
            <w:r>
              <w:rPr>
                <w:rFonts w:ascii="Arial" w:cs="Arial" w:eastAsia="Arial" w:hAnsi="Arial"/>
                <w:sz w:val="13"/>
                <w:szCs w:val="13"/>
                <w:b w:val="1"/>
                <w:bCs w:val="1"/>
                <w:color w:val="auto"/>
              </w:rPr>
              <w:t>%</w:t>
            </w: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60" w:type="dxa"/>
            <w:vAlign w:val="bottom"/>
          </w:tcPr>
          <w:p>
            <w:pPr>
              <w:jc w:val="center"/>
              <w:ind w:right="32"/>
              <w:spacing w:after="0" w:line="133" w:lineRule="exact"/>
              <w:rPr>
                <w:sz w:val="20"/>
                <w:szCs w:val="20"/>
                <w:color w:val="auto"/>
              </w:rPr>
            </w:pPr>
            <w:r>
              <w:rPr>
                <w:rFonts w:ascii="Arial" w:cs="Arial" w:eastAsia="Arial" w:hAnsi="Arial"/>
                <w:sz w:val="13"/>
                <w:szCs w:val="13"/>
                <w:b w:val="1"/>
                <w:bCs w:val="1"/>
                <w:color w:val="auto"/>
              </w:rPr>
              <w:t>April 30,</w:t>
            </w:r>
          </w:p>
        </w:tc>
        <w:tc>
          <w:tcPr>
            <w:tcW w:w="100" w:type="dxa"/>
            <w:vAlign w:val="bottom"/>
          </w:tcPr>
          <w:p>
            <w:pPr>
              <w:spacing w:after="0"/>
              <w:rPr>
                <w:sz w:val="11"/>
                <w:szCs w:val="11"/>
                <w:color w:val="auto"/>
              </w:rPr>
            </w:pPr>
          </w:p>
        </w:tc>
        <w:tc>
          <w:tcPr>
            <w:tcW w:w="4340" w:type="dxa"/>
            <w:vAlign w:val="bottom"/>
            <w:vMerge w:val="restart"/>
          </w:tcPr>
          <w:p>
            <w:pPr>
              <w:ind w:left="1440"/>
              <w:spacing w:after="0"/>
              <w:rPr>
                <w:sz w:val="20"/>
                <w:szCs w:val="20"/>
                <w:color w:val="auto"/>
              </w:rPr>
            </w:pPr>
            <w:r>
              <w:rPr>
                <w:rFonts w:ascii="Arial" w:cs="Arial" w:eastAsia="Arial" w:hAnsi="Arial"/>
                <w:sz w:val="13"/>
                <w:szCs w:val="13"/>
                <w:b w:val="1"/>
                <w:bCs w:val="1"/>
                <w:color w:val="auto"/>
              </w:rPr>
              <w:t>Management comments</w:t>
            </w:r>
          </w:p>
        </w:tc>
        <w:tc>
          <w:tcPr>
            <w:tcW w:w="0" w:type="dxa"/>
            <w:vAlign w:val="bottom"/>
          </w:tcPr>
          <w:p>
            <w:pPr>
              <w:spacing w:after="0"/>
              <w:rPr>
                <w:sz w:val="1"/>
                <w:szCs w:val="1"/>
                <w:color w:val="auto"/>
              </w:rPr>
            </w:pPr>
          </w:p>
        </w:tc>
      </w:tr>
      <w:tr>
        <w:trPr>
          <w:trHeight w:val="176"/>
        </w:trPr>
        <w:tc>
          <w:tcPr>
            <w:tcW w:w="3020" w:type="dxa"/>
            <w:vAlign w:val="bottom"/>
            <w:vMerge w:val="continue"/>
          </w:tcPr>
          <w:p>
            <w:pPr>
              <w:spacing w:after="0"/>
              <w:rPr>
                <w:sz w:val="15"/>
                <w:szCs w:val="15"/>
                <w:color w:val="auto"/>
              </w:rPr>
            </w:pPr>
          </w:p>
        </w:tc>
        <w:tc>
          <w:tcPr>
            <w:tcW w:w="120" w:type="dxa"/>
            <w:vAlign w:val="bottom"/>
          </w:tcPr>
          <w:p>
            <w:pPr>
              <w:spacing w:after="0"/>
              <w:rPr>
                <w:sz w:val="15"/>
                <w:szCs w:val="15"/>
                <w:color w:val="auto"/>
              </w:rPr>
            </w:pPr>
          </w:p>
        </w:tc>
        <w:tc>
          <w:tcPr>
            <w:tcW w:w="680" w:type="dxa"/>
            <w:vAlign w:val="bottom"/>
          </w:tcPr>
          <w:p>
            <w:pPr>
              <w:jc w:val="center"/>
              <w:ind w:right="52"/>
              <w:spacing w:after="0"/>
              <w:rPr>
                <w:sz w:val="20"/>
                <w:szCs w:val="20"/>
                <w:color w:val="auto"/>
              </w:rPr>
            </w:pPr>
            <w:r>
              <w:rPr>
                <w:rFonts w:ascii="Arial" w:cs="Arial" w:eastAsia="Arial" w:hAnsi="Arial"/>
                <w:sz w:val="13"/>
                <w:szCs w:val="13"/>
                <w:b w:val="1"/>
                <w:bCs w:val="1"/>
                <w:color w:val="auto"/>
                <w:w w:val="96"/>
              </w:rPr>
              <w:t>2023</w:t>
            </w:r>
          </w:p>
        </w:tc>
        <w:tc>
          <w:tcPr>
            <w:tcW w:w="1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80" w:type="dxa"/>
            <w:vAlign w:val="bottom"/>
            <w:vMerge w:val="continue"/>
          </w:tcPr>
          <w:p>
            <w:pPr>
              <w:spacing w:after="0"/>
              <w:rPr>
                <w:sz w:val="15"/>
                <w:szCs w:val="15"/>
                <w:color w:val="auto"/>
              </w:rPr>
            </w:pPr>
          </w:p>
        </w:tc>
        <w:tc>
          <w:tcPr>
            <w:tcW w:w="740" w:type="dxa"/>
            <w:vAlign w:val="bottom"/>
            <w:gridSpan w:val="2"/>
            <w:vMerge w:val="continue"/>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60" w:type="dxa"/>
            <w:vAlign w:val="bottom"/>
          </w:tcPr>
          <w:p>
            <w:pPr>
              <w:jc w:val="center"/>
              <w:ind w:right="32"/>
              <w:spacing w:after="0"/>
              <w:rPr>
                <w:sz w:val="20"/>
                <w:szCs w:val="20"/>
                <w:color w:val="auto"/>
              </w:rPr>
            </w:pPr>
            <w:r>
              <w:rPr>
                <w:rFonts w:ascii="Arial" w:cs="Arial" w:eastAsia="Arial" w:hAnsi="Arial"/>
                <w:sz w:val="13"/>
                <w:szCs w:val="13"/>
                <w:b w:val="1"/>
                <w:bCs w:val="1"/>
                <w:color w:val="auto"/>
                <w:w w:val="96"/>
              </w:rPr>
              <w:t>2022</w:t>
            </w:r>
          </w:p>
        </w:tc>
        <w:tc>
          <w:tcPr>
            <w:tcW w:w="100" w:type="dxa"/>
            <w:vAlign w:val="bottom"/>
          </w:tcPr>
          <w:p>
            <w:pPr>
              <w:spacing w:after="0"/>
              <w:rPr>
                <w:sz w:val="15"/>
                <w:szCs w:val="15"/>
                <w:color w:val="auto"/>
              </w:rPr>
            </w:pPr>
          </w:p>
        </w:tc>
        <w:tc>
          <w:tcPr>
            <w:tcW w:w="434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7"/>
        </w:trPr>
        <w:tc>
          <w:tcPr>
            <w:tcW w:w="302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4"/>
                <w:szCs w:val="14"/>
                <w:color w:val="auto"/>
              </w:rPr>
              <w:t>Cost of revenue:</w:t>
            </w:r>
          </w:p>
        </w:tc>
        <w:tc>
          <w:tcPr>
            <w:tcW w:w="120" w:type="dxa"/>
            <w:vAlign w:val="bottom"/>
            <w:tcBorders>
              <w:top w:val="single" w:sz="8" w:color="auto"/>
            </w:tcBorders>
            <w:shd w:val="clear" w:color="auto" w:fill="CCEEFF"/>
          </w:tcPr>
          <w:p>
            <w:pPr>
              <w:spacing w:after="0"/>
              <w:rPr>
                <w:sz w:val="14"/>
                <w:szCs w:val="14"/>
                <w:color w:val="auto"/>
              </w:rPr>
            </w:pPr>
          </w:p>
        </w:tc>
        <w:tc>
          <w:tcPr>
            <w:tcW w:w="6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40" w:type="dxa"/>
            <w:vAlign w:val="bottom"/>
            <w:tcBorders>
              <w:top w:val="single" w:sz="8" w:color="auto"/>
            </w:tcBorders>
            <w:shd w:val="clear" w:color="auto" w:fill="CCEEFF"/>
          </w:tcPr>
          <w:p>
            <w:pPr>
              <w:spacing w:after="0"/>
              <w:rPr>
                <w:sz w:val="14"/>
                <w:szCs w:val="14"/>
                <w:color w:val="auto"/>
              </w:rPr>
            </w:pPr>
          </w:p>
        </w:tc>
        <w:tc>
          <w:tcPr>
            <w:tcW w:w="48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640" w:type="dxa"/>
            <w:vAlign w:val="bottom"/>
            <w:tcBorders>
              <w:top w:val="single" w:sz="8" w:color="auto"/>
            </w:tcBorders>
            <w:shd w:val="clear" w:color="auto" w:fill="CCEEFF"/>
          </w:tcPr>
          <w:p>
            <w:pPr>
              <w:spacing w:after="0"/>
              <w:rPr>
                <w:sz w:val="14"/>
                <w:szCs w:val="14"/>
                <w:color w:val="auto"/>
              </w:rPr>
            </w:pPr>
          </w:p>
        </w:tc>
        <w:tc>
          <w:tcPr>
            <w:tcW w:w="80" w:type="dxa"/>
            <w:vAlign w:val="bottom"/>
            <w:tcBorders>
              <w:top w:val="single" w:sz="8" w:color="CCEEFF"/>
            </w:tcBorders>
            <w:shd w:val="clear" w:color="auto" w:fill="CCEEFF"/>
          </w:tcPr>
          <w:p>
            <w:pPr>
              <w:spacing w:after="0"/>
              <w:rPr>
                <w:sz w:val="14"/>
                <w:szCs w:val="14"/>
                <w:color w:val="auto"/>
              </w:rPr>
            </w:pPr>
          </w:p>
        </w:tc>
        <w:tc>
          <w:tcPr>
            <w:tcW w:w="120" w:type="dxa"/>
            <w:vAlign w:val="bottom"/>
            <w:tcBorders>
              <w:top w:val="single" w:sz="8" w:color="auto"/>
            </w:tcBorders>
            <w:shd w:val="clear" w:color="auto" w:fill="CCEEFF"/>
          </w:tcPr>
          <w:p>
            <w:pPr>
              <w:spacing w:after="0"/>
              <w:rPr>
                <w:sz w:val="14"/>
                <w:szCs w:val="14"/>
                <w:color w:val="auto"/>
              </w:rPr>
            </w:pPr>
          </w:p>
        </w:tc>
        <w:tc>
          <w:tcPr>
            <w:tcW w:w="66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434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4"/>
        </w:trPr>
        <w:tc>
          <w:tcPr>
            <w:tcW w:w="3020" w:type="dxa"/>
            <w:vAlign w:val="bottom"/>
          </w:tcPr>
          <w:p>
            <w:pPr>
              <w:ind w:left="300"/>
              <w:spacing w:after="0" w:line="144" w:lineRule="exact"/>
              <w:rPr>
                <w:sz w:val="20"/>
                <w:szCs w:val="20"/>
                <w:color w:val="auto"/>
              </w:rPr>
            </w:pPr>
            <w:r>
              <w:rPr>
                <w:rFonts w:ascii="Arial" w:cs="Arial" w:eastAsia="Arial" w:hAnsi="Arial"/>
                <w:sz w:val="14"/>
                <w:szCs w:val="14"/>
                <w:color w:val="auto"/>
              </w:rPr>
              <w:t>Subscription and maintenance</w:t>
            </w:r>
          </w:p>
        </w:tc>
        <w:tc>
          <w:tcPr>
            <w:tcW w:w="120" w:type="dxa"/>
            <w:vAlign w:val="bottom"/>
          </w:tcPr>
          <w:p>
            <w:pPr>
              <w:jc w:val="right"/>
              <w:spacing w:after="0" w:line="144" w:lineRule="exact"/>
              <w:rPr>
                <w:sz w:val="20"/>
                <w:szCs w:val="20"/>
                <w:color w:val="auto"/>
              </w:rPr>
            </w:pPr>
            <w:r>
              <w:rPr>
                <w:rFonts w:ascii="Arial" w:cs="Arial" w:eastAsia="Arial" w:hAnsi="Arial"/>
                <w:sz w:val="14"/>
                <w:szCs w:val="14"/>
                <w:color w:val="auto"/>
                <w:w w:val="76"/>
              </w:rPr>
              <w:t>$</w:t>
            </w:r>
          </w:p>
        </w:tc>
        <w:tc>
          <w:tcPr>
            <w:tcW w:w="680" w:type="dxa"/>
            <w:vAlign w:val="bottom"/>
          </w:tcPr>
          <w:p>
            <w:pPr>
              <w:jc w:val="right"/>
              <w:ind w:right="12"/>
              <w:spacing w:after="0" w:line="144" w:lineRule="exact"/>
              <w:rPr>
                <w:sz w:val="20"/>
                <w:szCs w:val="20"/>
                <w:color w:val="auto"/>
              </w:rPr>
            </w:pPr>
            <w:r>
              <w:rPr>
                <w:rFonts w:ascii="Arial" w:cs="Arial" w:eastAsia="Arial" w:hAnsi="Arial"/>
                <w:sz w:val="14"/>
                <w:szCs w:val="14"/>
                <w:color w:val="auto"/>
              </w:rPr>
              <w:t>96</w:t>
            </w:r>
          </w:p>
        </w:tc>
        <w:tc>
          <w:tcPr>
            <w:tcW w:w="240" w:type="dxa"/>
            <w:vAlign w:val="bottom"/>
            <w:gridSpan w:val="2"/>
          </w:tcPr>
          <w:p>
            <w:pPr>
              <w:jc w:val="right"/>
              <w:spacing w:after="0" w:line="144" w:lineRule="exact"/>
              <w:rPr>
                <w:sz w:val="20"/>
                <w:szCs w:val="20"/>
                <w:color w:val="auto"/>
              </w:rPr>
            </w:pPr>
            <w:r>
              <w:rPr>
                <w:rFonts w:ascii="Arial" w:cs="Arial" w:eastAsia="Arial" w:hAnsi="Arial"/>
                <w:sz w:val="14"/>
                <w:szCs w:val="14"/>
                <w:color w:val="auto"/>
              </w:rPr>
              <w:t>$</w:t>
            </w:r>
          </w:p>
        </w:tc>
        <w:tc>
          <w:tcPr>
            <w:tcW w:w="480" w:type="dxa"/>
            <w:vAlign w:val="bottom"/>
          </w:tcPr>
          <w:p>
            <w:pPr>
              <w:jc w:val="right"/>
              <w:spacing w:after="0" w:line="144" w:lineRule="exact"/>
              <w:rPr>
                <w:sz w:val="20"/>
                <w:szCs w:val="20"/>
                <w:color w:val="auto"/>
              </w:rPr>
            </w:pPr>
            <w:r>
              <w:rPr>
                <w:rFonts w:ascii="Arial" w:cs="Arial" w:eastAsia="Arial" w:hAnsi="Arial"/>
                <w:sz w:val="14"/>
                <w:szCs w:val="14"/>
                <w:color w:val="auto"/>
              </w:rPr>
              <w:t>12</w:t>
            </w:r>
          </w:p>
        </w:tc>
        <w:tc>
          <w:tcPr>
            <w:tcW w:w="74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14 %</w:t>
            </w:r>
          </w:p>
        </w:tc>
        <w:tc>
          <w:tcPr>
            <w:tcW w:w="20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w:t>
            </w:r>
          </w:p>
        </w:tc>
        <w:tc>
          <w:tcPr>
            <w:tcW w:w="660" w:type="dxa"/>
            <w:vAlign w:val="bottom"/>
          </w:tcPr>
          <w:p>
            <w:pPr>
              <w:jc w:val="right"/>
              <w:ind w:right="12"/>
              <w:spacing w:after="0" w:line="144" w:lineRule="exact"/>
              <w:rPr>
                <w:sz w:val="20"/>
                <w:szCs w:val="20"/>
                <w:color w:val="auto"/>
              </w:rPr>
            </w:pPr>
            <w:r>
              <w:rPr>
                <w:rFonts w:ascii="Arial" w:cs="Arial" w:eastAsia="Arial" w:hAnsi="Arial"/>
                <w:sz w:val="14"/>
                <w:szCs w:val="14"/>
                <w:color w:val="auto"/>
              </w:rPr>
              <w:t>84</w:t>
            </w:r>
          </w:p>
        </w:tc>
        <w:tc>
          <w:tcPr>
            <w:tcW w:w="100" w:type="dxa"/>
            <w:vAlign w:val="bottom"/>
          </w:tcPr>
          <w:p>
            <w:pPr>
              <w:spacing w:after="0"/>
              <w:rPr>
                <w:sz w:val="12"/>
                <w:szCs w:val="12"/>
                <w:color w:val="auto"/>
              </w:rPr>
            </w:pPr>
          </w:p>
        </w:tc>
        <w:tc>
          <w:tcPr>
            <w:tcW w:w="4340" w:type="dxa"/>
            <w:vAlign w:val="bottom"/>
          </w:tcPr>
          <w:p>
            <w:pPr>
              <w:spacing w:after="0" w:line="144" w:lineRule="exact"/>
              <w:rPr>
                <w:sz w:val="20"/>
                <w:szCs w:val="20"/>
                <w:color w:val="auto"/>
              </w:rPr>
            </w:pPr>
            <w:r>
              <w:rPr>
                <w:rFonts w:ascii="Arial" w:cs="Arial" w:eastAsia="Arial" w:hAnsi="Arial"/>
                <w:sz w:val="14"/>
                <w:szCs w:val="14"/>
                <w:color w:val="auto"/>
              </w:rPr>
              <w:t>Increase primarily due to cloud hosting costs, and employee related</w:t>
            </w:r>
          </w:p>
        </w:tc>
        <w:tc>
          <w:tcPr>
            <w:tcW w:w="0" w:type="dxa"/>
            <w:vAlign w:val="bottom"/>
          </w:tcPr>
          <w:p>
            <w:pPr>
              <w:spacing w:after="0"/>
              <w:rPr>
                <w:sz w:val="1"/>
                <w:szCs w:val="1"/>
                <w:color w:val="auto"/>
              </w:rPr>
            </w:pPr>
          </w:p>
        </w:tc>
      </w:tr>
      <w:tr>
        <w:trPr>
          <w:trHeight w:val="182"/>
        </w:trPr>
        <w:tc>
          <w:tcPr>
            <w:tcW w:w="30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340" w:type="dxa"/>
            <w:vAlign w:val="bottom"/>
          </w:tcPr>
          <w:p>
            <w:pPr>
              <w:spacing w:after="0"/>
              <w:rPr>
                <w:sz w:val="20"/>
                <w:szCs w:val="20"/>
                <w:color w:val="auto"/>
              </w:rPr>
            </w:pPr>
            <w:r>
              <w:rPr>
                <w:rFonts w:ascii="Arial" w:cs="Arial" w:eastAsia="Arial" w:hAnsi="Arial"/>
                <w:sz w:val="14"/>
                <w:szCs w:val="14"/>
                <w:color w:val="auto"/>
              </w:rPr>
              <w:t>costs driven by higher headcount.</w:t>
            </w:r>
          </w:p>
        </w:tc>
        <w:tc>
          <w:tcPr>
            <w:tcW w:w="0" w:type="dxa"/>
            <w:vAlign w:val="bottom"/>
          </w:tcPr>
          <w:p>
            <w:pPr>
              <w:spacing w:after="0"/>
              <w:rPr>
                <w:sz w:val="1"/>
                <w:szCs w:val="1"/>
                <w:color w:val="auto"/>
              </w:rPr>
            </w:pPr>
          </w:p>
        </w:tc>
      </w:tr>
      <w:tr>
        <w:trPr>
          <w:trHeight w:val="146"/>
        </w:trPr>
        <w:tc>
          <w:tcPr>
            <w:tcW w:w="302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Other</w:t>
            </w:r>
          </w:p>
        </w:tc>
        <w:tc>
          <w:tcPr>
            <w:tcW w:w="120" w:type="dxa"/>
            <w:vAlign w:val="bottom"/>
            <w:shd w:val="clear" w:color="auto" w:fill="CCEEFF"/>
          </w:tcPr>
          <w:p>
            <w:pPr>
              <w:spacing w:after="0"/>
              <w:rPr>
                <w:sz w:val="12"/>
                <w:szCs w:val="12"/>
                <w:color w:val="auto"/>
              </w:rPr>
            </w:pPr>
          </w:p>
        </w:tc>
        <w:tc>
          <w:tcPr>
            <w:tcW w:w="680" w:type="dxa"/>
            <w:vAlign w:val="bottom"/>
            <w:shd w:val="clear" w:color="auto" w:fill="CCEEFF"/>
          </w:tcPr>
          <w:p>
            <w:pPr>
              <w:jc w:val="right"/>
              <w:ind w:right="12"/>
              <w:spacing w:after="0" w:line="147" w:lineRule="exact"/>
              <w:rPr>
                <w:sz w:val="20"/>
                <w:szCs w:val="20"/>
                <w:color w:val="auto"/>
              </w:rPr>
            </w:pPr>
            <w:r>
              <w:rPr>
                <w:rFonts w:ascii="Arial" w:cs="Arial" w:eastAsia="Arial" w:hAnsi="Arial"/>
                <w:sz w:val="14"/>
                <w:szCs w:val="14"/>
                <w:color w:val="auto"/>
              </w:rPr>
              <w:t>20</w:t>
            </w: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4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1</w:t>
            </w:r>
          </w:p>
        </w:tc>
        <w:tc>
          <w:tcPr>
            <w:tcW w:w="740" w:type="dxa"/>
            <w:vAlign w:val="bottom"/>
            <w:gridSpan w:val="2"/>
            <w:shd w:val="clear" w:color="auto" w:fill="CCEEFF"/>
          </w:tcPr>
          <w:p>
            <w:pPr>
              <w:jc w:val="right"/>
              <w:ind w:right="20"/>
              <w:spacing w:after="0" w:line="147" w:lineRule="exact"/>
              <w:rPr>
                <w:sz w:val="20"/>
                <w:szCs w:val="20"/>
                <w:color w:val="auto"/>
              </w:rPr>
            </w:pPr>
            <w:r>
              <w:rPr>
                <w:rFonts w:ascii="Arial" w:cs="Arial" w:eastAsia="Arial" w:hAnsi="Arial"/>
                <w:sz w:val="14"/>
                <w:szCs w:val="14"/>
                <w:color w:val="auto"/>
              </w:rPr>
              <w:t>5 %</w:t>
            </w: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60" w:type="dxa"/>
            <w:vAlign w:val="bottom"/>
            <w:shd w:val="clear" w:color="auto" w:fill="CCEEFF"/>
          </w:tcPr>
          <w:p>
            <w:pPr>
              <w:jc w:val="right"/>
              <w:ind w:right="12"/>
              <w:spacing w:after="0" w:line="147" w:lineRule="exact"/>
              <w:rPr>
                <w:sz w:val="20"/>
                <w:szCs w:val="20"/>
                <w:color w:val="auto"/>
              </w:rPr>
            </w:pPr>
            <w:r>
              <w:rPr>
                <w:rFonts w:ascii="Arial" w:cs="Arial" w:eastAsia="Arial" w:hAnsi="Arial"/>
                <w:sz w:val="14"/>
                <w:szCs w:val="14"/>
                <w:color w:val="auto"/>
              </w:rPr>
              <w:t>19</w:t>
            </w:r>
          </w:p>
        </w:tc>
        <w:tc>
          <w:tcPr>
            <w:tcW w:w="100" w:type="dxa"/>
            <w:vAlign w:val="bottom"/>
            <w:shd w:val="clear" w:color="auto" w:fill="CCEEFF"/>
          </w:tcPr>
          <w:p>
            <w:pPr>
              <w:spacing w:after="0"/>
              <w:rPr>
                <w:sz w:val="12"/>
                <w:szCs w:val="12"/>
                <w:color w:val="auto"/>
              </w:rPr>
            </w:pPr>
          </w:p>
        </w:tc>
        <w:tc>
          <w:tcPr>
            <w:tcW w:w="4340" w:type="dxa"/>
            <w:vAlign w:val="bottom"/>
            <w:shd w:val="clear" w:color="auto" w:fill="CCEEFF"/>
          </w:tcPr>
          <w:p>
            <w:pPr>
              <w:spacing w:after="0" w:line="147" w:lineRule="exact"/>
              <w:rPr>
                <w:sz w:val="20"/>
                <w:szCs w:val="20"/>
                <w:color w:val="auto"/>
              </w:rPr>
            </w:pPr>
            <w:r>
              <w:rPr>
                <w:rFonts w:ascii="Arial" w:cs="Arial" w:eastAsia="Arial" w:hAnsi="Arial"/>
                <w:sz w:val="14"/>
                <w:szCs w:val="14"/>
                <w:color w:val="auto"/>
              </w:rPr>
              <w:t>Increase primarily due to employee-related costs driven by higher</w:t>
            </w:r>
          </w:p>
        </w:tc>
        <w:tc>
          <w:tcPr>
            <w:tcW w:w="0" w:type="dxa"/>
            <w:vAlign w:val="bottom"/>
          </w:tcPr>
          <w:p>
            <w:pPr>
              <w:spacing w:after="0"/>
              <w:rPr>
                <w:sz w:val="1"/>
                <w:szCs w:val="1"/>
                <w:color w:val="auto"/>
              </w:rPr>
            </w:pPr>
          </w:p>
        </w:tc>
      </w:tr>
      <w:tr>
        <w:trPr>
          <w:trHeight w:val="184"/>
        </w:trPr>
        <w:tc>
          <w:tcPr>
            <w:tcW w:w="302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6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4340" w:type="dxa"/>
            <w:vAlign w:val="bottom"/>
            <w:shd w:val="clear" w:color="auto" w:fill="CCEEFF"/>
          </w:tcPr>
          <w:p>
            <w:pPr>
              <w:spacing w:after="0"/>
              <w:rPr>
                <w:sz w:val="20"/>
                <w:szCs w:val="20"/>
                <w:color w:val="auto"/>
              </w:rPr>
            </w:pPr>
            <w:r>
              <w:rPr>
                <w:rFonts w:ascii="Arial" w:cs="Arial" w:eastAsia="Arial" w:hAnsi="Arial"/>
                <w:sz w:val="14"/>
                <w:szCs w:val="14"/>
                <w:color w:val="auto"/>
              </w:rPr>
              <w:t>headcount.</w:t>
            </w:r>
          </w:p>
        </w:tc>
        <w:tc>
          <w:tcPr>
            <w:tcW w:w="0" w:type="dxa"/>
            <w:vAlign w:val="bottom"/>
          </w:tcPr>
          <w:p>
            <w:pPr>
              <w:spacing w:after="0"/>
              <w:rPr>
                <w:sz w:val="1"/>
                <w:szCs w:val="1"/>
                <w:color w:val="auto"/>
              </w:rPr>
            </w:pPr>
          </w:p>
        </w:tc>
      </w:tr>
      <w:tr>
        <w:trPr>
          <w:trHeight w:val="144"/>
        </w:trPr>
        <w:tc>
          <w:tcPr>
            <w:tcW w:w="3020" w:type="dxa"/>
            <w:vAlign w:val="bottom"/>
          </w:tcPr>
          <w:p>
            <w:pPr>
              <w:ind w:left="300"/>
              <w:spacing w:after="0" w:line="144" w:lineRule="exact"/>
              <w:rPr>
                <w:sz w:val="20"/>
                <w:szCs w:val="20"/>
                <w:color w:val="auto"/>
              </w:rPr>
            </w:pPr>
            <w:r>
              <w:rPr>
                <w:rFonts w:ascii="Arial" w:cs="Arial" w:eastAsia="Arial" w:hAnsi="Arial"/>
                <w:sz w:val="14"/>
                <w:szCs w:val="14"/>
                <w:color w:val="auto"/>
              </w:rPr>
              <w:t>Amortization of developed technologies</w:t>
            </w:r>
          </w:p>
        </w:tc>
        <w:tc>
          <w:tcPr>
            <w:tcW w:w="120" w:type="dxa"/>
            <w:vAlign w:val="bottom"/>
          </w:tcPr>
          <w:p>
            <w:pPr>
              <w:spacing w:after="0"/>
              <w:rPr>
                <w:sz w:val="12"/>
                <w:szCs w:val="12"/>
                <w:color w:val="auto"/>
              </w:rPr>
            </w:pPr>
          </w:p>
        </w:tc>
        <w:tc>
          <w:tcPr>
            <w:tcW w:w="680" w:type="dxa"/>
            <w:vAlign w:val="bottom"/>
          </w:tcPr>
          <w:p>
            <w:pPr>
              <w:jc w:val="right"/>
              <w:ind w:right="12"/>
              <w:spacing w:after="0" w:line="144" w:lineRule="exact"/>
              <w:rPr>
                <w:sz w:val="20"/>
                <w:szCs w:val="20"/>
                <w:color w:val="auto"/>
              </w:rPr>
            </w:pPr>
            <w:r>
              <w:rPr>
                <w:rFonts w:ascii="Arial" w:cs="Arial" w:eastAsia="Arial" w:hAnsi="Arial"/>
                <w:sz w:val="14"/>
                <w:szCs w:val="14"/>
                <w:color w:val="auto"/>
              </w:rPr>
              <w:t>11</w:t>
            </w: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jc w:val="right"/>
              <w:spacing w:after="0" w:line="144" w:lineRule="exact"/>
              <w:rPr>
                <w:sz w:val="20"/>
                <w:szCs w:val="20"/>
                <w:color w:val="auto"/>
              </w:rPr>
            </w:pPr>
            <w:r>
              <w:rPr>
                <w:rFonts w:ascii="Arial" w:cs="Arial" w:eastAsia="Arial" w:hAnsi="Arial"/>
                <w:sz w:val="14"/>
                <w:szCs w:val="14"/>
                <w:color w:val="auto"/>
              </w:rPr>
              <w:t>(3)</w:t>
            </w:r>
          </w:p>
        </w:tc>
        <w:tc>
          <w:tcPr>
            <w:tcW w:w="74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(21)%</w:t>
            </w: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jc w:val="right"/>
              <w:ind w:right="12"/>
              <w:spacing w:after="0" w:line="144" w:lineRule="exact"/>
              <w:rPr>
                <w:sz w:val="20"/>
                <w:szCs w:val="20"/>
                <w:color w:val="auto"/>
              </w:rPr>
            </w:pPr>
            <w:r>
              <w:rPr>
                <w:rFonts w:ascii="Arial" w:cs="Arial" w:eastAsia="Arial" w:hAnsi="Arial"/>
                <w:sz w:val="14"/>
                <w:szCs w:val="14"/>
                <w:color w:val="auto"/>
              </w:rPr>
              <w:t>14</w:t>
            </w:r>
          </w:p>
        </w:tc>
        <w:tc>
          <w:tcPr>
            <w:tcW w:w="100" w:type="dxa"/>
            <w:vAlign w:val="bottom"/>
          </w:tcPr>
          <w:p>
            <w:pPr>
              <w:spacing w:after="0"/>
              <w:rPr>
                <w:sz w:val="12"/>
                <w:szCs w:val="12"/>
                <w:color w:val="auto"/>
              </w:rPr>
            </w:pPr>
          </w:p>
        </w:tc>
        <w:tc>
          <w:tcPr>
            <w:tcW w:w="4340" w:type="dxa"/>
            <w:vAlign w:val="bottom"/>
          </w:tcPr>
          <w:p>
            <w:pPr>
              <w:spacing w:after="0" w:line="144" w:lineRule="exact"/>
              <w:rPr>
                <w:sz w:val="20"/>
                <w:szCs w:val="20"/>
                <w:color w:val="auto"/>
              </w:rPr>
            </w:pPr>
            <w:r>
              <w:rPr>
                <w:rFonts w:ascii="Arial" w:cs="Arial" w:eastAsia="Arial" w:hAnsi="Arial"/>
                <w:sz w:val="14"/>
                <w:szCs w:val="14"/>
                <w:color w:val="auto"/>
              </w:rPr>
              <w:t>The decrease is primarily due to previously acquired assets that</w:t>
            </w:r>
          </w:p>
        </w:tc>
        <w:tc>
          <w:tcPr>
            <w:tcW w:w="0" w:type="dxa"/>
            <w:vAlign w:val="bottom"/>
          </w:tcPr>
          <w:p>
            <w:pPr>
              <w:spacing w:after="0"/>
              <w:rPr>
                <w:sz w:val="1"/>
                <w:szCs w:val="1"/>
                <w:color w:val="auto"/>
              </w:rPr>
            </w:pPr>
          </w:p>
        </w:tc>
      </w:tr>
      <w:tr>
        <w:trPr>
          <w:trHeight w:val="182"/>
        </w:trPr>
        <w:tc>
          <w:tcPr>
            <w:tcW w:w="302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480" w:type="dxa"/>
            <w:vAlign w:val="bottom"/>
            <w:tcBorders>
              <w:bottom w:val="single" w:sz="8" w:color="auto"/>
            </w:tcBorders>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640" w:type="dxa"/>
            <w:vAlign w:val="bottom"/>
            <w:tcBorders>
              <w:bottom w:val="single" w:sz="8" w:color="CCEEFF"/>
            </w:tcBorders>
          </w:tcPr>
          <w:p>
            <w:pPr>
              <w:spacing w:after="0"/>
              <w:rPr>
                <w:sz w:val="15"/>
                <w:szCs w:val="15"/>
                <w:color w:val="auto"/>
              </w:rPr>
            </w:pPr>
          </w:p>
        </w:tc>
        <w:tc>
          <w:tcPr>
            <w:tcW w:w="80" w:type="dxa"/>
            <w:vAlign w:val="bottom"/>
            <w:tcBorders>
              <w:bottom w:val="single" w:sz="8" w:color="CCEEFF"/>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660" w:type="dxa"/>
            <w:vAlign w:val="bottom"/>
            <w:tcBorders>
              <w:bottom w:val="single" w:sz="8" w:color="auto"/>
            </w:tcBorders>
          </w:tcPr>
          <w:p>
            <w:pPr>
              <w:spacing w:after="0"/>
              <w:rPr>
                <w:sz w:val="15"/>
                <w:szCs w:val="15"/>
                <w:color w:val="auto"/>
              </w:rPr>
            </w:pPr>
          </w:p>
        </w:tc>
        <w:tc>
          <w:tcPr>
            <w:tcW w:w="100" w:type="dxa"/>
            <w:vAlign w:val="bottom"/>
            <w:tcBorders>
              <w:bottom w:val="single" w:sz="8" w:color="CCEEFF"/>
            </w:tcBorders>
          </w:tcPr>
          <w:p>
            <w:pPr>
              <w:spacing w:after="0"/>
              <w:rPr>
                <w:sz w:val="15"/>
                <w:szCs w:val="15"/>
                <w:color w:val="auto"/>
              </w:rPr>
            </w:pPr>
          </w:p>
        </w:tc>
        <w:tc>
          <w:tcPr>
            <w:tcW w:w="4340" w:type="dxa"/>
            <w:vAlign w:val="bottom"/>
            <w:tcBorders>
              <w:bottom w:val="single" w:sz="8" w:color="CCEEFF"/>
            </w:tcBorders>
          </w:tcPr>
          <w:p>
            <w:pPr>
              <w:spacing w:after="0"/>
              <w:rPr>
                <w:sz w:val="20"/>
                <w:szCs w:val="20"/>
                <w:color w:val="auto"/>
              </w:rPr>
            </w:pPr>
            <w:r>
              <w:rPr>
                <w:rFonts w:ascii="Arial" w:cs="Arial" w:eastAsia="Arial" w:hAnsi="Arial"/>
                <w:sz w:val="14"/>
                <w:szCs w:val="14"/>
                <w:color w:val="auto"/>
              </w:rPr>
              <w:t>continue to become fully amortized.</w:t>
            </w:r>
          </w:p>
        </w:tc>
        <w:tc>
          <w:tcPr>
            <w:tcW w:w="0" w:type="dxa"/>
            <w:vAlign w:val="bottom"/>
          </w:tcPr>
          <w:p>
            <w:pPr>
              <w:spacing w:after="0"/>
              <w:rPr>
                <w:sz w:val="1"/>
                <w:szCs w:val="1"/>
                <w:color w:val="auto"/>
              </w:rPr>
            </w:pPr>
          </w:p>
        </w:tc>
      </w:tr>
      <w:tr>
        <w:trPr>
          <w:trHeight w:val="202"/>
        </w:trPr>
        <w:tc>
          <w:tcPr>
            <w:tcW w:w="3020" w:type="dxa"/>
            <w:vAlign w:val="bottom"/>
            <w:shd w:val="clear" w:color="auto" w:fill="CCEEFF"/>
          </w:tcPr>
          <w:p>
            <w:pPr>
              <w:ind w:left="580"/>
              <w:spacing w:after="0"/>
              <w:rPr>
                <w:sz w:val="20"/>
                <w:szCs w:val="20"/>
                <w:color w:val="auto"/>
              </w:rPr>
            </w:pPr>
            <w:r>
              <w:rPr>
                <w:rFonts w:ascii="Arial" w:cs="Arial" w:eastAsia="Arial" w:hAnsi="Arial"/>
                <w:sz w:val="14"/>
                <w:szCs w:val="14"/>
                <w:color w:val="auto"/>
              </w:rPr>
              <w:t>Total cost of revenue</w:t>
            </w:r>
          </w:p>
        </w:tc>
        <w:tc>
          <w:tcPr>
            <w:tcW w:w="120" w:type="dxa"/>
            <w:vAlign w:val="bottom"/>
            <w:shd w:val="clear" w:color="auto" w:fill="CCEEFF"/>
          </w:tcPr>
          <w:p>
            <w:pPr>
              <w:jc w:val="right"/>
              <w:spacing w:after="0"/>
              <w:rPr>
                <w:sz w:val="20"/>
                <w:szCs w:val="20"/>
                <w:color w:val="auto"/>
              </w:rPr>
            </w:pPr>
            <w:r>
              <w:rPr>
                <w:rFonts w:ascii="Arial" w:cs="Arial" w:eastAsia="Arial" w:hAnsi="Arial"/>
                <w:sz w:val="14"/>
                <w:szCs w:val="14"/>
                <w:color w:val="auto"/>
                <w:w w:val="76"/>
              </w:rPr>
              <w:t>$</w:t>
            </w:r>
          </w:p>
        </w:tc>
        <w:tc>
          <w:tcPr>
            <w:tcW w:w="6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127</w:t>
            </w:r>
          </w:p>
        </w:tc>
        <w:tc>
          <w:tcPr>
            <w:tcW w:w="24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4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w:t>
            </w:r>
          </w:p>
        </w:tc>
        <w:tc>
          <w:tcPr>
            <w:tcW w:w="74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9 %</w:t>
            </w:r>
          </w:p>
        </w:tc>
        <w:tc>
          <w:tcPr>
            <w:tcW w:w="200" w:type="dxa"/>
            <w:vAlign w:val="bottom"/>
            <w:gridSpan w:val="2"/>
            <w:shd w:val="clear" w:color="auto" w:fill="CCEEFF"/>
          </w:tcPr>
          <w:p>
            <w:pPr>
              <w:jc w:val="right"/>
              <w:ind w:right="20"/>
              <w:spacing w:after="0"/>
              <w:rPr>
                <w:sz w:val="20"/>
                <w:szCs w:val="20"/>
                <w:color w:val="auto"/>
              </w:rPr>
            </w:pPr>
            <w:r>
              <w:rPr>
                <w:rFonts w:ascii="Arial" w:cs="Arial" w:eastAsia="Arial" w:hAnsi="Arial"/>
                <w:sz w:val="14"/>
                <w:szCs w:val="14"/>
                <w:color w:val="auto"/>
              </w:rPr>
              <w:t>$</w:t>
            </w:r>
          </w:p>
        </w:tc>
        <w:tc>
          <w:tcPr>
            <w:tcW w:w="6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117</w:t>
            </w:r>
          </w:p>
        </w:tc>
        <w:tc>
          <w:tcPr>
            <w:tcW w:w="100" w:type="dxa"/>
            <w:vAlign w:val="bottom"/>
            <w:shd w:val="clear" w:color="auto" w:fill="CCEEFF"/>
          </w:tcPr>
          <w:p>
            <w:pPr>
              <w:spacing w:after="0"/>
              <w:rPr>
                <w:sz w:val="17"/>
                <w:szCs w:val="17"/>
                <w:color w:val="auto"/>
              </w:rPr>
            </w:pPr>
          </w:p>
        </w:tc>
        <w:tc>
          <w:tcPr>
            <w:tcW w:w="4340" w:type="dxa"/>
            <w:vAlign w:val="bottom"/>
            <w:shd w:val="clear" w:color="auto" w:fill="CCEEFF"/>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020" w:type="dxa"/>
            <w:vAlign w:val="bottom"/>
            <w:tcBorders>
              <w:top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640" w:type="dxa"/>
            <w:vAlign w:val="bottom"/>
            <w:tcBorders>
              <w:top w:val="single" w:sz="8" w:color="CCEEFF"/>
            </w:tcBorders>
          </w:tcPr>
          <w:p>
            <w:pPr>
              <w:spacing w:after="0" w:line="20" w:lineRule="exact"/>
              <w:rPr>
                <w:sz w:val="1"/>
                <w:szCs w:val="1"/>
                <w:color w:val="auto"/>
              </w:rPr>
            </w:pPr>
          </w:p>
        </w:tc>
        <w:tc>
          <w:tcPr>
            <w:tcW w:w="80" w:type="dxa"/>
            <w:vAlign w:val="bottom"/>
            <w:tcBorders>
              <w:top w:val="single" w:sz="8" w:color="CCEEFF"/>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4340" w:type="dxa"/>
            <w:vAlign w:val="bottom"/>
            <w:tcBorders>
              <w:top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4"/>
        </w:trPr>
        <w:tc>
          <w:tcPr>
            <w:tcW w:w="30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43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87"/>
        </w:trPr>
        <w:tc>
          <w:tcPr>
            <w:tcW w:w="3020" w:type="dxa"/>
            <w:vAlign w:val="bottom"/>
            <w:shd w:val="clear" w:color="auto" w:fill="CCEEFF"/>
          </w:tcPr>
          <w:p>
            <w:pPr>
              <w:ind w:left="20"/>
              <w:spacing w:after="0"/>
              <w:rPr>
                <w:sz w:val="20"/>
                <w:szCs w:val="20"/>
                <w:color w:val="auto"/>
              </w:rPr>
            </w:pPr>
            <w:r>
              <w:rPr>
                <w:rFonts w:ascii="Arial" w:cs="Arial" w:eastAsia="Arial" w:hAnsi="Arial"/>
                <w:sz w:val="14"/>
                <w:szCs w:val="14"/>
                <w:color w:val="auto"/>
              </w:rPr>
              <w:t>Operating expenses:</w:t>
            </w:r>
          </w:p>
        </w:tc>
        <w:tc>
          <w:tcPr>
            <w:tcW w:w="12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6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434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144"/>
        </w:trPr>
        <w:tc>
          <w:tcPr>
            <w:tcW w:w="3020" w:type="dxa"/>
            <w:vAlign w:val="bottom"/>
          </w:tcPr>
          <w:p>
            <w:pPr>
              <w:ind w:left="300"/>
              <w:spacing w:after="0" w:line="144" w:lineRule="exact"/>
              <w:rPr>
                <w:sz w:val="20"/>
                <w:szCs w:val="20"/>
                <w:color w:val="auto"/>
              </w:rPr>
            </w:pPr>
            <w:r>
              <w:rPr>
                <w:rFonts w:ascii="Arial" w:cs="Arial" w:eastAsia="Arial" w:hAnsi="Arial"/>
                <w:sz w:val="14"/>
                <w:szCs w:val="14"/>
                <w:color w:val="auto"/>
              </w:rPr>
              <w:t>Marketing and sales</w:t>
            </w:r>
          </w:p>
        </w:tc>
        <w:tc>
          <w:tcPr>
            <w:tcW w:w="120" w:type="dxa"/>
            <w:vAlign w:val="bottom"/>
          </w:tcPr>
          <w:p>
            <w:pPr>
              <w:jc w:val="right"/>
              <w:spacing w:after="0" w:line="144" w:lineRule="exact"/>
              <w:rPr>
                <w:sz w:val="20"/>
                <w:szCs w:val="20"/>
                <w:color w:val="auto"/>
              </w:rPr>
            </w:pPr>
            <w:r>
              <w:rPr>
                <w:rFonts w:ascii="Arial" w:cs="Arial" w:eastAsia="Arial" w:hAnsi="Arial"/>
                <w:sz w:val="14"/>
                <w:szCs w:val="14"/>
                <w:color w:val="auto"/>
                <w:w w:val="76"/>
              </w:rPr>
              <w:t>$</w:t>
            </w: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456</w:t>
            </w:r>
          </w:p>
        </w:tc>
        <w:tc>
          <w:tcPr>
            <w:tcW w:w="240" w:type="dxa"/>
            <w:vAlign w:val="bottom"/>
            <w:gridSpan w:val="2"/>
          </w:tcPr>
          <w:p>
            <w:pPr>
              <w:jc w:val="right"/>
              <w:spacing w:after="0" w:line="144" w:lineRule="exact"/>
              <w:rPr>
                <w:sz w:val="20"/>
                <w:szCs w:val="20"/>
                <w:color w:val="auto"/>
              </w:rPr>
            </w:pPr>
            <w:r>
              <w:rPr>
                <w:rFonts w:ascii="Arial" w:cs="Arial" w:eastAsia="Arial" w:hAnsi="Arial"/>
                <w:sz w:val="14"/>
                <w:szCs w:val="14"/>
                <w:color w:val="auto"/>
              </w:rPr>
              <w:t>$</w:t>
            </w:r>
          </w:p>
        </w:tc>
        <w:tc>
          <w:tcPr>
            <w:tcW w:w="480" w:type="dxa"/>
            <w:vAlign w:val="bottom"/>
          </w:tcPr>
          <w:p>
            <w:pPr>
              <w:jc w:val="right"/>
              <w:spacing w:after="0" w:line="144" w:lineRule="exact"/>
              <w:rPr>
                <w:sz w:val="20"/>
                <w:szCs w:val="20"/>
                <w:color w:val="auto"/>
              </w:rPr>
            </w:pPr>
            <w:r>
              <w:rPr>
                <w:rFonts w:ascii="Arial" w:cs="Arial" w:eastAsia="Arial" w:hAnsi="Arial"/>
                <w:sz w:val="14"/>
                <w:szCs w:val="14"/>
                <w:color w:val="auto"/>
              </w:rPr>
              <w:t>37</w:t>
            </w:r>
          </w:p>
        </w:tc>
        <w:tc>
          <w:tcPr>
            <w:tcW w:w="74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9 %</w:t>
            </w:r>
          </w:p>
        </w:tc>
        <w:tc>
          <w:tcPr>
            <w:tcW w:w="20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w:t>
            </w:r>
          </w:p>
        </w:tc>
        <w:tc>
          <w:tcPr>
            <w:tcW w:w="660" w:type="dxa"/>
            <w:vAlign w:val="bottom"/>
          </w:tcPr>
          <w:p>
            <w:pPr>
              <w:jc w:val="right"/>
              <w:spacing w:after="0" w:line="144" w:lineRule="exact"/>
              <w:rPr>
                <w:sz w:val="20"/>
                <w:szCs w:val="20"/>
                <w:color w:val="auto"/>
              </w:rPr>
            </w:pPr>
            <w:r>
              <w:rPr>
                <w:rFonts w:ascii="Arial" w:cs="Arial" w:eastAsia="Arial" w:hAnsi="Arial"/>
                <w:sz w:val="14"/>
                <w:szCs w:val="14"/>
                <w:color w:val="auto"/>
              </w:rPr>
              <w:t>419</w:t>
            </w:r>
          </w:p>
        </w:tc>
        <w:tc>
          <w:tcPr>
            <w:tcW w:w="100" w:type="dxa"/>
            <w:vAlign w:val="bottom"/>
          </w:tcPr>
          <w:p>
            <w:pPr>
              <w:spacing w:after="0"/>
              <w:rPr>
                <w:sz w:val="12"/>
                <w:szCs w:val="12"/>
                <w:color w:val="auto"/>
              </w:rPr>
            </w:pPr>
          </w:p>
        </w:tc>
        <w:tc>
          <w:tcPr>
            <w:tcW w:w="4340" w:type="dxa"/>
            <w:vAlign w:val="bottom"/>
          </w:tcPr>
          <w:p>
            <w:pPr>
              <w:spacing w:after="0" w:line="144" w:lineRule="exact"/>
              <w:rPr>
                <w:sz w:val="20"/>
                <w:szCs w:val="20"/>
                <w:color w:val="auto"/>
              </w:rPr>
            </w:pPr>
            <w:r>
              <w:rPr>
                <w:rFonts w:ascii="Arial" w:cs="Arial" w:eastAsia="Arial" w:hAnsi="Arial"/>
                <w:sz w:val="14"/>
                <w:szCs w:val="14"/>
                <w:color w:val="auto"/>
              </w:rPr>
              <w:t>Increase primarily due to employee-related costs driven by higher</w:t>
            </w:r>
          </w:p>
        </w:tc>
        <w:tc>
          <w:tcPr>
            <w:tcW w:w="0" w:type="dxa"/>
            <w:vAlign w:val="bottom"/>
          </w:tcPr>
          <w:p>
            <w:pPr>
              <w:spacing w:after="0"/>
              <w:rPr>
                <w:sz w:val="1"/>
                <w:szCs w:val="1"/>
                <w:color w:val="auto"/>
              </w:rPr>
            </w:pPr>
          </w:p>
        </w:tc>
      </w:tr>
      <w:tr>
        <w:trPr>
          <w:trHeight w:val="141"/>
        </w:trPr>
        <w:tc>
          <w:tcPr>
            <w:tcW w:w="30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340" w:type="dxa"/>
            <w:vAlign w:val="bottom"/>
          </w:tcPr>
          <w:p>
            <w:pPr>
              <w:spacing w:after="0" w:line="141" w:lineRule="exact"/>
              <w:rPr>
                <w:sz w:val="20"/>
                <w:szCs w:val="20"/>
                <w:color w:val="auto"/>
              </w:rPr>
            </w:pPr>
            <w:r>
              <w:rPr>
                <w:rFonts w:ascii="Arial" w:cs="Arial" w:eastAsia="Arial" w:hAnsi="Arial"/>
                <w:sz w:val="14"/>
                <w:szCs w:val="14"/>
                <w:color w:val="auto"/>
              </w:rPr>
              <w:t>headcount, severance costs, an increase in travel and entertainment</w:t>
            </w:r>
          </w:p>
        </w:tc>
        <w:tc>
          <w:tcPr>
            <w:tcW w:w="0" w:type="dxa"/>
            <w:vAlign w:val="bottom"/>
          </w:tcPr>
          <w:p>
            <w:pPr>
              <w:spacing w:after="0"/>
              <w:rPr>
                <w:sz w:val="1"/>
                <w:szCs w:val="1"/>
                <w:color w:val="auto"/>
              </w:rPr>
            </w:pPr>
          </w:p>
        </w:tc>
      </w:tr>
      <w:tr>
        <w:trPr>
          <w:trHeight w:val="141"/>
        </w:trPr>
        <w:tc>
          <w:tcPr>
            <w:tcW w:w="30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340" w:type="dxa"/>
            <w:vAlign w:val="bottom"/>
          </w:tcPr>
          <w:p>
            <w:pPr>
              <w:spacing w:after="0" w:line="141" w:lineRule="exact"/>
              <w:rPr>
                <w:sz w:val="20"/>
                <w:szCs w:val="20"/>
                <w:color w:val="auto"/>
              </w:rPr>
            </w:pPr>
            <w:r>
              <w:rPr>
                <w:rFonts w:ascii="Arial" w:cs="Arial" w:eastAsia="Arial" w:hAnsi="Arial"/>
                <w:sz w:val="14"/>
                <w:szCs w:val="14"/>
                <w:color w:val="auto"/>
              </w:rPr>
              <w:t>expense as well as an increase in advertisement and promotion</w:t>
            </w:r>
          </w:p>
        </w:tc>
        <w:tc>
          <w:tcPr>
            <w:tcW w:w="0" w:type="dxa"/>
            <w:vAlign w:val="bottom"/>
          </w:tcPr>
          <w:p>
            <w:pPr>
              <w:spacing w:after="0"/>
              <w:rPr>
                <w:sz w:val="1"/>
                <w:szCs w:val="1"/>
                <w:color w:val="auto"/>
              </w:rPr>
            </w:pPr>
          </w:p>
        </w:tc>
      </w:tr>
      <w:tr>
        <w:trPr>
          <w:trHeight w:val="182"/>
        </w:trPr>
        <w:tc>
          <w:tcPr>
            <w:tcW w:w="30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340" w:type="dxa"/>
            <w:vAlign w:val="bottom"/>
          </w:tcPr>
          <w:p>
            <w:pPr>
              <w:spacing w:after="0"/>
              <w:rPr>
                <w:sz w:val="20"/>
                <w:szCs w:val="20"/>
                <w:color w:val="auto"/>
              </w:rPr>
            </w:pPr>
            <w:r>
              <w:rPr>
                <w:rFonts w:ascii="Arial" w:cs="Arial" w:eastAsia="Arial" w:hAnsi="Arial"/>
                <w:sz w:val="14"/>
                <w:szCs w:val="14"/>
                <w:color w:val="auto"/>
              </w:rPr>
              <w:t>costs partially offset by an increase in capitalized software costs.</w:t>
            </w:r>
          </w:p>
        </w:tc>
        <w:tc>
          <w:tcPr>
            <w:tcW w:w="0" w:type="dxa"/>
            <w:vAlign w:val="bottom"/>
          </w:tcPr>
          <w:p>
            <w:pPr>
              <w:spacing w:after="0"/>
              <w:rPr>
                <w:sz w:val="1"/>
                <w:szCs w:val="1"/>
                <w:color w:val="auto"/>
              </w:rPr>
            </w:pPr>
          </w:p>
        </w:tc>
      </w:tr>
      <w:tr>
        <w:trPr>
          <w:trHeight w:val="146"/>
        </w:trPr>
        <w:tc>
          <w:tcPr>
            <w:tcW w:w="302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Research and development</w:t>
            </w:r>
          </w:p>
        </w:tc>
        <w:tc>
          <w:tcPr>
            <w:tcW w:w="120" w:type="dxa"/>
            <w:vAlign w:val="bottom"/>
            <w:shd w:val="clear" w:color="auto" w:fill="CCEEFF"/>
          </w:tcPr>
          <w:p>
            <w:pPr>
              <w:spacing w:after="0"/>
              <w:rPr>
                <w:sz w:val="12"/>
                <w:szCs w:val="12"/>
                <w:color w:val="auto"/>
              </w:rPr>
            </w:pPr>
          </w:p>
        </w:tc>
        <w:tc>
          <w:tcPr>
            <w:tcW w:w="6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327</w:t>
            </w: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4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38</w:t>
            </w:r>
          </w:p>
        </w:tc>
        <w:tc>
          <w:tcPr>
            <w:tcW w:w="740" w:type="dxa"/>
            <w:vAlign w:val="bottom"/>
            <w:gridSpan w:val="2"/>
            <w:shd w:val="clear" w:color="auto" w:fill="CCEEFF"/>
          </w:tcPr>
          <w:p>
            <w:pPr>
              <w:jc w:val="right"/>
              <w:ind w:right="20"/>
              <w:spacing w:after="0" w:line="147" w:lineRule="exact"/>
              <w:rPr>
                <w:sz w:val="20"/>
                <w:szCs w:val="20"/>
                <w:color w:val="auto"/>
              </w:rPr>
            </w:pPr>
            <w:r>
              <w:rPr>
                <w:rFonts w:ascii="Arial" w:cs="Arial" w:eastAsia="Arial" w:hAnsi="Arial"/>
                <w:sz w:val="14"/>
                <w:szCs w:val="14"/>
                <w:color w:val="auto"/>
              </w:rPr>
              <w:t>13 %</w:t>
            </w: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6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289</w:t>
            </w:r>
          </w:p>
        </w:tc>
        <w:tc>
          <w:tcPr>
            <w:tcW w:w="100" w:type="dxa"/>
            <w:vAlign w:val="bottom"/>
            <w:shd w:val="clear" w:color="auto" w:fill="CCEEFF"/>
          </w:tcPr>
          <w:p>
            <w:pPr>
              <w:spacing w:after="0"/>
              <w:rPr>
                <w:sz w:val="12"/>
                <w:szCs w:val="12"/>
                <w:color w:val="auto"/>
              </w:rPr>
            </w:pPr>
          </w:p>
        </w:tc>
        <w:tc>
          <w:tcPr>
            <w:tcW w:w="4340" w:type="dxa"/>
            <w:vAlign w:val="bottom"/>
            <w:shd w:val="clear" w:color="auto" w:fill="CCEEFF"/>
          </w:tcPr>
          <w:p>
            <w:pPr>
              <w:spacing w:after="0" w:line="147" w:lineRule="exact"/>
              <w:rPr>
                <w:sz w:val="20"/>
                <w:szCs w:val="20"/>
                <w:color w:val="auto"/>
              </w:rPr>
            </w:pPr>
            <w:r>
              <w:rPr>
                <w:rFonts w:ascii="Arial" w:cs="Arial" w:eastAsia="Arial" w:hAnsi="Arial"/>
                <w:sz w:val="14"/>
                <w:szCs w:val="14"/>
                <w:color w:val="auto"/>
              </w:rPr>
              <w:t>Increase primarily due to employee-related costs, including stock-</w:t>
            </w:r>
          </w:p>
        </w:tc>
        <w:tc>
          <w:tcPr>
            <w:tcW w:w="0" w:type="dxa"/>
            <w:vAlign w:val="bottom"/>
          </w:tcPr>
          <w:p>
            <w:pPr>
              <w:spacing w:after="0"/>
              <w:rPr>
                <w:sz w:val="1"/>
                <w:szCs w:val="1"/>
                <w:color w:val="auto"/>
              </w:rPr>
            </w:pPr>
          </w:p>
        </w:tc>
      </w:tr>
      <w:tr>
        <w:trPr>
          <w:trHeight w:val="141"/>
        </w:trPr>
        <w:tc>
          <w:tcPr>
            <w:tcW w:w="302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6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340" w:type="dxa"/>
            <w:vAlign w:val="bottom"/>
            <w:shd w:val="clear" w:color="auto" w:fill="CCEEFF"/>
          </w:tcPr>
          <w:p>
            <w:pPr>
              <w:spacing w:after="0" w:line="141" w:lineRule="exact"/>
              <w:rPr>
                <w:sz w:val="20"/>
                <w:szCs w:val="20"/>
                <w:color w:val="auto"/>
              </w:rPr>
            </w:pPr>
            <w:r>
              <w:rPr>
                <w:rFonts w:ascii="Arial" w:cs="Arial" w:eastAsia="Arial" w:hAnsi="Arial"/>
                <w:sz w:val="14"/>
                <w:szCs w:val="14"/>
                <w:color w:val="auto"/>
              </w:rPr>
              <w:t>based compensation expense, driven by higher headcount, an</w:t>
            </w:r>
          </w:p>
        </w:tc>
        <w:tc>
          <w:tcPr>
            <w:tcW w:w="0" w:type="dxa"/>
            <w:vAlign w:val="bottom"/>
          </w:tcPr>
          <w:p>
            <w:pPr>
              <w:spacing w:after="0"/>
              <w:rPr>
                <w:sz w:val="1"/>
                <w:szCs w:val="1"/>
                <w:color w:val="auto"/>
              </w:rPr>
            </w:pPr>
          </w:p>
        </w:tc>
      </w:tr>
      <w:tr>
        <w:trPr>
          <w:trHeight w:val="141"/>
        </w:trPr>
        <w:tc>
          <w:tcPr>
            <w:tcW w:w="302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6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4340" w:type="dxa"/>
            <w:vAlign w:val="bottom"/>
            <w:shd w:val="clear" w:color="auto" w:fill="CCEEFF"/>
          </w:tcPr>
          <w:p>
            <w:pPr>
              <w:spacing w:after="0" w:line="141" w:lineRule="exact"/>
              <w:rPr>
                <w:sz w:val="20"/>
                <w:szCs w:val="20"/>
                <w:color w:val="auto"/>
              </w:rPr>
            </w:pPr>
            <w:r>
              <w:rPr>
                <w:rFonts w:ascii="Arial" w:cs="Arial" w:eastAsia="Arial" w:hAnsi="Arial"/>
                <w:sz w:val="14"/>
                <w:szCs w:val="14"/>
                <w:color w:val="auto"/>
              </w:rPr>
              <w:t>increase in cloud hosting costs as well as an increase in travel and</w:t>
            </w:r>
          </w:p>
        </w:tc>
        <w:tc>
          <w:tcPr>
            <w:tcW w:w="0" w:type="dxa"/>
            <w:vAlign w:val="bottom"/>
          </w:tcPr>
          <w:p>
            <w:pPr>
              <w:spacing w:after="0"/>
              <w:rPr>
                <w:sz w:val="1"/>
                <w:szCs w:val="1"/>
                <w:color w:val="auto"/>
              </w:rPr>
            </w:pPr>
          </w:p>
        </w:tc>
      </w:tr>
      <w:tr>
        <w:trPr>
          <w:trHeight w:val="184"/>
        </w:trPr>
        <w:tc>
          <w:tcPr>
            <w:tcW w:w="302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6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40" w:type="dxa"/>
            <w:vAlign w:val="bottom"/>
            <w:shd w:val="clear" w:color="auto" w:fill="CCEEFF"/>
          </w:tcPr>
          <w:p>
            <w:pPr>
              <w:spacing w:after="0"/>
              <w:rPr>
                <w:sz w:val="16"/>
                <w:szCs w:val="16"/>
                <w:color w:val="auto"/>
              </w:rPr>
            </w:pPr>
          </w:p>
        </w:tc>
        <w:tc>
          <w:tcPr>
            <w:tcW w:w="48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6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4340" w:type="dxa"/>
            <w:vAlign w:val="bottom"/>
            <w:shd w:val="clear" w:color="auto" w:fill="CCEEFF"/>
          </w:tcPr>
          <w:p>
            <w:pPr>
              <w:spacing w:after="0"/>
              <w:rPr>
                <w:sz w:val="20"/>
                <w:szCs w:val="20"/>
                <w:color w:val="auto"/>
              </w:rPr>
            </w:pPr>
            <w:r>
              <w:rPr>
                <w:rFonts w:ascii="Arial" w:cs="Arial" w:eastAsia="Arial" w:hAnsi="Arial"/>
                <w:sz w:val="14"/>
                <w:szCs w:val="14"/>
                <w:color w:val="auto"/>
              </w:rPr>
              <w:t>entertainment expense.</w:t>
            </w:r>
          </w:p>
        </w:tc>
        <w:tc>
          <w:tcPr>
            <w:tcW w:w="0" w:type="dxa"/>
            <w:vAlign w:val="bottom"/>
          </w:tcPr>
          <w:p>
            <w:pPr>
              <w:spacing w:after="0"/>
              <w:rPr>
                <w:sz w:val="1"/>
                <w:szCs w:val="1"/>
                <w:color w:val="auto"/>
              </w:rPr>
            </w:pPr>
          </w:p>
        </w:tc>
      </w:tr>
      <w:tr>
        <w:trPr>
          <w:trHeight w:val="144"/>
        </w:trPr>
        <w:tc>
          <w:tcPr>
            <w:tcW w:w="3020" w:type="dxa"/>
            <w:vAlign w:val="bottom"/>
          </w:tcPr>
          <w:p>
            <w:pPr>
              <w:ind w:left="300"/>
              <w:spacing w:after="0" w:line="144" w:lineRule="exact"/>
              <w:rPr>
                <w:sz w:val="20"/>
                <w:szCs w:val="20"/>
                <w:color w:val="auto"/>
              </w:rPr>
            </w:pPr>
            <w:r>
              <w:rPr>
                <w:rFonts w:ascii="Arial" w:cs="Arial" w:eastAsia="Arial" w:hAnsi="Arial"/>
                <w:sz w:val="14"/>
                <w:szCs w:val="14"/>
                <w:color w:val="auto"/>
              </w:rPr>
              <w:t>General and administrative</w:t>
            </w:r>
          </w:p>
        </w:tc>
        <w:tc>
          <w:tcPr>
            <w:tcW w:w="120" w:type="dxa"/>
            <w:vAlign w:val="bottom"/>
          </w:tcPr>
          <w:p>
            <w:pPr>
              <w:spacing w:after="0"/>
              <w:rPr>
                <w:sz w:val="12"/>
                <w:szCs w:val="12"/>
                <w:color w:val="auto"/>
              </w:rPr>
            </w:pPr>
          </w:p>
        </w:tc>
        <w:tc>
          <w:tcPr>
            <w:tcW w:w="680" w:type="dxa"/>
            <w:vAlign w:val="bottom"/>
          </w:tcPr>
          <w:p>
            <w:pPr>
              <w:jc w:val="right"/>
              <w:spacing w:after="0" w:line="144" w:lineRule="exact"/>
              <w:rPr>
                <w:sz w:val="20"/>
                <w:szCs w:val="20"/>
                <w:color w:val="auto"/>
              </w:rPr>
            </w:pPr>
            <w:r>
              <w:rPr>
                <w:rFonts w:ascii="Arial" w:cs="Arial" w:eastAsia="Arial" w:hAnsi="Arial"/>
                <w:sz w:val="14"/>
                <w:szCs w:val="14"/>
                <w:color w:val="auto"/>
              </w:rPr>
              <w:t>132</w:t>
            </w: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jc w:val="right"/>
              <w:spacing w:after="0" w:line="144" w:lineRule="exact"/>
              <w:rPr>
                <w:sz w:val="20"/>
                <w:szCs w:val="20"/>
                <w:color w:val="auto"/>
              </w:rPr>
            </w:pPr>
            <w:r>
              <w:rPr>
                <w:rFonts w:ascii="Arial" w:cs="Arial" w:eastAsia="Arial" w:hAnsi="Arial"/>
                <w:sz w:val="14"/>
                <w:szCs w:val="14"/>
                <w:color w:val="auto"/>
              </w:rPr>
              <w:t>12</w:t>
            </w:r>
          </w:p>
        </w:tc>
        <w:tc>
          <w:tcPr>
            <w:tcW w:w="740" w:type="dxa"/>
            <w:vAlign w:val="bottom"/>
            <w:gridSpan w:val="2"/>
          </w:tcPr>
          <w:p>
            <w:pPr>
              <w:jc w:val="right"/>
              <w:ind w:right="20"/>
              <w:spacing w:after="0" w:line="144" w:lineRule="exact"/>
              <w:rPr>
                <w:sz w:val="20"/>
                <w:szCs w:val="20"/>
                <w:color w:val="auto"/>
              </w:rPr>
            </w:pPr>
            <w:r>
              <w:rPr>
                <w:rFonts w:ascii="Arial" w:cs="Arial" w:eastAsia="Arial" w:hAnsi="Arial"/>
                <w:sz w:val="14"/>
                <w:szCs w:val="14"/>
                <w:color w:val="auto"/>
              </w:rPr>
              <w:t>10 %</w:t>
            </w: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jc w:val="right"/>
              <w:spacing w:after="0" w:line="144" w:lineRule="exact"/>
              <w:rPr>
                <w:sz w:val="20"/>
                <w:szCs w:val="20"/>
                <w:color w:val="auto"/>
              </w:rPr>
            </w:pPr>
            <w:r>
              <w:rPr>
                <w:rFonts w:ascii="Arial" w:cs="Arial" w:eastAsia="Arial" w:hAnsi="Arial"/>
                <w:sz w:val="14"/>
                <w:szCs w:val="14"/>
                <w:color w:val="auto"/>
              </w:rPr>
              <w:t>120</w:t>
            </w:r>
          </w:p>
        </w:tc>
        <w:tc>
          <w:tcPr>
            <w:tcW w:w="100" w:type="dxa"/>
            <w:vAlign w:val="bottom"/>
          </w:tcPr>
          <w:p>
            <w:pPr>
              <w:spacing w:after="0"/>
              <w:rPr>
                <w:sz w:val="12"/>
                <w:szCs w:val="12"/>
                <w:color w:val="auto"/>
              </w:rPr>
            </w:pPr>
          </w:p>
        </w:tc>
        <w:tc>
          <w:tcPr>
            <w:tcW w:w="4340" w:type="dxa"/>
            <w:vAlign w:val="bottom"/>
          </w:tcPr>
          <w:p>
            <w:pPr>
              <w:spacing w:after="0" w:line="144" w:lineRule="exact"/>
              <w:rPr>
                <w:sz w:val="20"/>
                <w:szCs w:val="20"/>
                <w:color w:val="auto"/>
              </w:rPr>
            </w:pPr>
            <w:r>
              <w:rPr>
                <w:rFonts w:ascii="Arial" w:cs="Arial" w:eastAsia="Arial" w:hAnsi="Arial"/>
                <w:sz w:val="14"/>
                <w:szCs w:val="14"/>
                <w:color w:val="auto"/>
              </w:rPr>
              <w:t>Increase primarily due to employee-related costs driven by higher</w:t>
            </w:r>
          </w:p>
        </w:tc>
        <w:tc>
          <w:tcPr>
            <w:tcW w:w="0" w:type="dxa"/>
            <w:vAlign w:val="bottom"/>
          </w:tcPr>
          <w:p>
            <w:pPr>
              <w:spacing w:after="0"/>
              <w:rPr>
                <w:sz w:val="1"/>
                <w:szCs w:val="1"/>
                <w:color w:val="auto"/>
              </w:rPr>
            </w:pPr>
          </w:p>
        </w:tc>
      </w:tr>
      <w:tr>
        <w:trPr>
          <w:trHeight w:val="141"/>
        </w:trPr>
        <w:tc>
          <w:tcPr>
            <w:tcW w:w="30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340" w:type="dxa"/>
            <w:vAlign w:val="bottom"/>
          </w:tcPr>
          <w:p>
            <w:pPr>
              <w:spacing w:after="0" w:line="141" w:lineRule="exact"/>
              <w:rPr>
                <w:sz w:val="20"/>
                <w:szCs w:val="20"/>
                <w:color w:val="auto"/>
              </w:rPr>
            </w:pPr>
            <w:r>
              <w:rPr>
                <w:rFonts w:ascii="Arial" w:cs="Arial" w:eastAsia="Arial" w:hAnsi="Arial"/>
                <w:sz w:val="14"/>
                <w:szCs w:val="14"/>
                <w:color w:val="auto"/>
              </w:rPr>
              <w:t>headcount as well as an increase in cloud hosting costs, and lower</w:t>
            </w:r>
          </w:p>
        </w:tc>
        <w:tc>
          <w:tcPr>
            <w:tcW w:w="0" w:type="dxa"/>
            <w:vAlign w:val="bottom"/>
          </w:tcPr>
          <w:p>
            <w:pPr>
              <w:spacing w:after="0"/>
              <w:rPr>
                <w:sz w:val="1"/>
                <w:szCs w:val="1"/>
                <w:color w:val="auto"/>
              </w:rPr>
            </w:pPr>
          </w:p>
        </w:tc>
      </w:tr>
      <w:tr>
        <w:trPr>
          <w:trHeight w:val="141"/>
        </w:trPr>
        <w:tc>
          <w:tcPr>
            <w:tcW w:w="30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340" w:type="dxa"/>
            <w:vAlign w:val="bottom"/>
          </w:tcPr>
          <w:p>
            <w:pPr>
              <w:spacing w:after="0" w:line="141" w:lineRule="exact"/>
              <w:rPr>
                <w:sz w:val="20"/>
                <w:szCs w:val="20"/>
                <w:color w:val="auto"/>
              </w:rPr>
            </w:pPr>
            <w:r>
              <w:rPr>
                <w:rFonts w:ascii="Arial" w:cs="Arial" w:eastAsia="Arial" w:hAnsi="Arial"/>
                <w:sz w:val="14"/>
                <w:szCs w:val="14"/>
                <w:color w:val="auto"/>
              </w:rPr>
              <w:t>capitalized software costs partially offset by a decrease in</w:t>
            </w:r>
          </w:p>
        </w:tc>
        <w:tc>
          <w:tcPr>
            <w:tcW w:w="0" w:type="dxa"/>
            <w:vAlign w:val="bottom"/>
          </w:tcPr>
          <w:p>
            <w:pPr>
              <w:spacing w:after="0"/>
              <w:rPr>
                <w:sz w:val="1"/>
                <w:szCs w:val="1"/>
                <w:color w:val="auto"/>
              </w:rPr>
            </w:pPr>
          </w:p>
        </w:tc>
      </w:tr>
      <w:tr>
        <w:trPr>
          <w:trHeight w:val="182"/>
        </w:trPr>
        <w:tc>
          <w:tcPr>
            <w:tcW w:w="30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340" w:type="dxa"/>
            <w:vAlign w:val="bottom"/>
          </w:tcPr>
          <w:p>
            <w:pPr>
              <w:spacing w:after="0"/>
              <w:rPr>
                <w:sz w:val="20"/>
                <w:szCs w:val="20"/>
                <w:color w:val="auto"/>
              </w:rPr>
            </w:pPr>
            <w:r>
              <w:rPr>
                <w:rFonts w:ascii="Arial" w:cs="Arial" w:eastAsia="Arial" w:hAnsi="Arial"/>
                <w:sz w:val="14"/>
                <w:szCs w:val="14"/>
                <w:color w:val="auto"/>
              </w:rPr>
              <w:t>professional fees.</w:t>
            </w:r>
          </w:p>
        </w:tc>
        <w:tc>
          <w:tcPr>
            <w:tcW w:w="0" w:type="dxa"/>
            <w:vAlign w:val="bottom"/>
          </w:tcPr>
          <w:p>
            <w:pPr>
              <w:spacing w:after="0"/>
              <w:rPr>
                <w:sz w:val="1"/>
                <w:szCs w:val="1"/>
                <w:color w:val="auto"/>
              </w:rPr>
            </w:pPr>
          </w:p>
        </w:tc>
      </w:tr>
      <w:tr>
        <w:trPr>
          <w:trHeight w:val="146"/>
        </w:trPr>
        <w:tc>
          <w:tcPr>
            <w:tcW w:w="3020" w:type="dxa"/>
            <w:vAlign w:val="bottom"/>
            <w:shd w:val="clear" w:color="auto" w:fill="CCEEFF"/>
          </w:tcPr>
          <w:p>
            <w:pPr>
              <w:ind w:left="300"/>
              <w:spacing w:after="0" w:line="147" w:lineRule="exact"/>
              <w:rPr>
                <w:sz w:val="20"/>
                <w:szCs w:val="20"/>
                <w:color w:val="auto"/>
              </w:rPr>
            </w:pPr>
            <w:r>
              <w:rPr>
                <w:rFonts w:ascii="Arial" w:cs="Arial" w:eastAsia="Arial" w:hAnsi="Arial"/>
                <w:sz w:val="14"/>
                <w:szCs w:val="14"/>
                <w:color w:val="auto"/>
              </w:rPr>
              <w:t>Amortization of purchased intangibles</w:t>
            </w:r>
          </w:p>
        </w:tc>
        <w:tc>
          <w:tcPr>
            <w:tcW w:w="120" w:type="dxa"/>
            <w:vAlign w:val="bottom"/>
            <w:shd w:val="clear" w:color="auto" w:fill="CCEEFF"/>
          </w:tcPr>
          <w:p>
            <w:pPr>
              <w:spacing w:after="0"/>
              <w:rPr>
                <w:sz w:val="12"/>
                <w:szCs w:val="12"/>
                <w:color w:val="auto"/>
              </w:rPr>
            </w:pPr>
          </w:p>
        </w:tc>
        <w:tc>
          <w:tcPr>
            <w:tcW w:w="680" w:type="dxa"/>
            <w:vAlign w:val="bottom"/>
            <w:shd w:val="clear" w:color="auto" w:fill="CCEEFF"/>
          </w:tcPr>
          <w:p>
            <w:pPr>
              <w:jc w:val="right"/>
              <w:ind w:right="12"/>
              <w:spacing w:after="0" w:line="147" w:lineRule="exact"/>
              <w:rPr>
                <w:sz w:val="20"/>
                <w:szCs w:val="20"/>
                <w:color w:val="auto"/>
              </w:rPr>
            </w:pPr>
            <w:r>
              <w:rPr>
                <w:rFonts w:ascii="Arial" w:cs="Arial" w:eastAsia="Arial" w:hAnsi="Arial"/>
                <w:sz w:val="14"/>
                <w:szCs w:val="14"/>
                <w:color w:val="auto"/>
              </w:rPr>
              <w:t>10</w:t>
            </w: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480" w:type="dxa"/>
            <w:vAlign w:val="bottom"/>
            <w:shd w:val="clear" w:color="auto" w:fill="CCEEFF"/>
          </w:tcPr>
          <w:p>
            <w:pPr>
              <w:jc w:val="right"/>
              <w:spacing w:after="0" w:line="147" w:lineRule="exact"/>
              <w:rPr>
                <w:sz w:val="20"/>
                <w:szCs w:val="20"/>
                <w:color w:val="auto"/>
              </w:rPr>
            </w:pPr>
            <w:r>
              <w:rPr>
                <w:rFonts w:ascii="Arial" w:cs="Arial" w:eastAsia="Arial" w:hAnsi="Arial"/>
                <w:sz w:val="14"/>
                <w:szCs w:val="14"/>
                <w:color w:val="auto"/>
              </w:rPr>
              <w:t>(1)</w:t>
            </w:r>
          </w:p>
        </w:tc>
        <w:tc>
          <w:tcPr>
            <w:tcW w:w="740" w:type="dxa"/>
            <w:vAlign w:val="bottom"/>
            <w:gridSpan w:val="2"/>
            <w:shd w:val="clear" w:color="auto" w:fill="CCEEFF"/>
          </w:tcPr>
          <w:p>
            <w:pPr>
              <w:jc w:val="right"/>
              <w:ind w:right="20"/>
              <w:spacing w:after="0" w:line="147" w:lineRule="exact"/>
              <w:rPr>
                <w:sz w:val="20"/>
                <w:szCs w:val="20"/>
                <w:color w:val="auto"/>
              </w:rPr>
            </w:pPr>
            <w:r>
              <w:rPr>
                <w:rFonts w:ascii="Arial" w:cs="Arial" w:eastAsia="Arial" w:hAnsi="Arial"/>
                <w:sz w:val="14"/>
                <w:szCs w:val="14"/>
                <w:color w:val="auto"/>
              </w:rPr>
              <w:t>(9) %</w:t>
            </w:r>
          </w:p>
        </w:tc>
        <w:tc>
          <w:tcPr>
            <w:tcW w:w="8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660" w:type="dxa"/>
            <w:vAlign w:val="bottom"/>
            <w:shd w:val="clear" w:color="auto" w:fill="CCEEFF"/>
          </w:tcPr>
          <w:p>
            <w:pPr>
              <w:jc w:val="right"/>
              <w:ind w:right="12"/>
              <w:spacing w:after="0" w:line="147" w:lineRule="exact"/>
              <w:rPr>
                <w:sz w:val="20"/>
                <w:szCs w:val="20"/>
                <w:color w:val="auto"/>
              </w:rPr>
            </w:pPr>
            <w:r>
              <w:rPr>
                <w:rFonts w:ascii="Arial" w:cs="Arial" w:eastAsia="Arial" w:hAnsi="Arial"/>
                <w:sz w:val="14"/>
                <w:szCs w:val="14"/>
                <w:color w:val="auto"/>
              </w:rPr>
              <w:t>11</w:t>
            </w:r>
          </w:p>
        </w:tc>
        <w:tc>
          <w:tcPr>
            <w:tcW w:w="100" w:type="dxa"/>
            <w:vAlign w:val="bottom"/>
            <w:shd w:val="clear" w:color="auto" w:fill="CCEEFF"/>
          </w:tcPr>
          <w:p>
            <w:pPr>
              <w:spacing w:after="0"/>
              <w:rPr>
                <w:sz w:val="12"/>
                <w:szCs w:val="12"/>
                <w:color w:val="auto"/>
              </w:rPr>
            </w:pPr>
          </w:p>
        </w:tc>
        <w:tc>
          <w:tcPr>
            <w:tcW w:w="4340" w:type="dxa"/>
            <w:vAlign w:val="bottom"/>
            <w:shd w:val="clear" w:color="auto" w:fill="CCEEFF"/>
          </w:tcPr>
          <w:p>
            <w:pPr>
              <w:spacing w:after="0" w:line="147" w:lineRule="exact"/>
              <w:rPr>
                <w:sz w:val="20"/>
                <w:szCs w:val="20"/>
                <w:color w:val="auto"/>
              </w:rPr>
            </w:pPr>
            <w:r>
              <w:rPr>
                <w:rFonts w:ascii="Arial" w:cs="Arial" w:eastAsia="Arial" w:hAnsi="Arial"/>
                <w:sz w:val="14"/>
                <w:szCs w:val="14"/>
                <w:color w:val="auto"/>
              </w:rPr>
              <w:t>The decrease is primarily due to previously acquired assets that fully</w:t>
            </w:r>
          </w:p>
        </w:tc>
        <w:tc>
          <w:tcPr>
            <w:tcW w:w="0" w:type="dxa"/>
            <w:vAlign w:val="bottom"/>
          </w:tcPr>
          <w:p>
            <w:pPr>
              <w:spacing w:after="0"/>
              <w:rPr>
                <w:sz w:val="1"/>
                <w:szCs w:val="1"/>
                <w:color w:val="auto"/>
              </w:rPr>
            </w:pPr>
          </w:p>
        </w:tc>
      </w:tr>
      <w:tr>
        <w:trPr>
          <w:trHeight w:val="184"/>
        </w:trPr>
        <w:tc>
          <w:tcPr>
            <w:tcW w:w="3020" w:type="dxa"/>
            <w:vAlign w:val="bottom"/>
            <w:shd w:val="clear" w:color="auto" w:fill="CCEEFF"/>
          </w:tcPr>
          <w:p>
            <w:pPr>
              <w:spacing w:after="0"/>
              <w:rPr>
                <w:sz w:val="16"/>
                <w:szCs w:val="16"/>
                <w:color w:val="auto"/>
              </w:rPr>
            </w:pPr>
          </w:p>
        </w:tc>
        <w:tc>
          <w:tcPr>
            <w:tcW w:w="120" w:type="dxa"/>
            <w:vAlign w:val="bottom"/>
            <w:tcBorders>
              <w:bottom w:val="single" w:sz="8" w:color="auto"/>
            </w:tcBorders>
            <w:shd w:val="clear" w:color="auto" w:fill="CCEEFF"/>
          </w:tcPr>
          <w:p>
            <w:pPr>
              <w:spacing w:after="0"/>
              <w:rPr>
                <w:sz w:val="16"/>
                <w:szCs w:val="16"/>
                <w:color w:val="auto"/>
              </w:rPr>
            </w:pPr>
          </w:p>
        </w:tc>
        <w:tc>
          <w:tcPr>
            <w:tcW w:w="680" w:type="dxa"/>
            <w:vAlign w:val="bottom"/>
            <w:tcBorders>
              <w:bottom w:val="single" w:sz="8" w:color="auto"/>
            </w:tcBorders>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140" w:type="dxa"/>
            <w:vAlign w:val="bottom"/>
            <w:tcBorders>
              <w:bottom w:val="single" w:sz="8" w:color="auto"/>
            </w:tcBorders>
            <w:shd w:val="clear" w:color="auto" w:fill="CCEEFF"/>
          </w:tcPr>
          <w:p>
            <w:pPr>
              <w:spacing w:after="0"/>
              <w:rPr>
                <w:sz w:val="16"/>
                <w:szCs w:val="16"/>
                <w:color w:val="auto"/>
              </w:rPr>
            </w:pPr>
          </w:p>
        </w:tc>
        <w:tc>
          <w:tcPr>
            <w:tcW w:w="480" w:type="dxa"/>
            <w:vAlign w:val="bottom"/>
            <w:tcBorders>
              <w:bottom w:val="single" w:sz="8" w:color="auto"/>
            </w:tcBorders>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640" w:type="dxa"/>
            <w:vAlign w:val="bottom"/>
            <w:shd w:val="clear" w:color="auto" w:fill="CCEEFF"/>
          </w:tcPr>
          <w:p>
            <w:pPr>
              <w:spacing w:after="0"/>
              <w:rPr>
                <w:sz w:val="16"/>
                <w:szCs w:val="16"/>
                <w:color w:val="auto"/>
              </w:rPr>
            </w:pPr>
          </w:p>
        </w:tc>
        <w:tc>
          <w:tcPr>
            <w:tcW w:w="80" w:type="dxa"/>
            <w:vAlign w:val="bottom"/>
            <w:shd w:val="clear" w:color="auto" w:fill="CCEEFF"/>
          </w:tcPr>
          <w:p>
            <w:pPr>
              <w:spacing w:after="0"/>
              <w:rPr>
                <w:sz w:val="16"/>
                <w:szCs w:val="16"/>
                <w:color w:val="auto"/>
              </w:rPr>
            </w:pPr>
          </w:p>
        </w:tc>
        <w:tc>
          <w:tcPr>
            <w:tcW w:w="120" w:type="dxa"/>
            <w:vAlign w:val="bottom"/>
            <w:tcBorders>
              <w:bottom w:val="single" w:sz="8" w:color="auto"/>
            </w:tcBorders>
            <w:shd w:val="clear" w:color="auto" w:fill="CCEEFF"/>
          </w:tcPr>
          <w:p>
            <w:pPr>
              <w:spacing w:after="0"/>
              <w:rPr>
                <w:sz w:val="16"/>
                <w:szCs w:val="16"/>
                <w:color w:val="auto"/>
              </w:rPr>
            </w:pPr>
          </w:p>
        </w:tc>
        <w:tc>
          <w:tcPr>
            <w:tcW w:w="660" w:type="dxa"/>
            <w:vAlign w:val="bottom"/>
            <w:tcBorders>
              <w:bottom w:val="single" w:sz="8" w:color="auto"/>
            </w:tcBorders>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4340" w:type="dxa"/>
            <w:vAlign w:val="bottom"/>
            <w:shd w:val="clear" w:color="auto" w:fill="CCEEFF"/>
          </w:tcPr>
          <w:p>
            <w:pPr>
              <w:spacing w:after="0"/>
              <w:rPr>
                <w:sz w:val="20"/>
                <w:szCs w:val="20"/>
                <w:color w:val="auto"/>
              </w:rPr>
            </w:pPr>
            <w:r>
              <w:rPr>
                <w:rFonts w:ascii="Arial" w:cs="Arial" w:eastAsia="Arial" w:hAnsi="Arial"/>
                <w:sz w:val="14"/>
                <w:szCs w:val="14"/>
                <w:color w:val="auto"/>
              </w:rPr>
              <w:t>amortized.</w:t>
            </w:r>
          </w:p>
        </w:tc>
        <w:tc>
          <w:tcPr>
            <w:tcW w:w="0" w:type="dxa"/>
            <w:vAlign w:val="bottom"/>
          </w:tcPr>
          <w:p>
            <w:pPr>
              <w:spacing w:after="0"/>
              <w:rPr>
                <w:sz w:val="1"/>
                <w:szCs w:val="1"/>
                <w:color w:val="auto"/>
              </w:rPr>
            </w:pPr>
          </w:p>
        </w:tc>
      </w:tr>
      <w:tr>
        <w:trPr>
          <w:trHeight w:val="177"/>
        </w:trPr>
        <w:tc>
          <w:tcPr>
            <w:tcW w:w="3020" w:type="dxa"/>
            <w:vAlign w:val="bottom"/>
          </w:tcPr>
          <w:p>
            <w:pPr>
              <w:ind w:left="580"/>
              <w:spacing w:after="0"/>
              <w:rPr>
                <w:sz w:val="20"/>
                <w:szCs w:val="20"/>
                <w:color w:val="auto"/>
              </w:rPr>
            </w:pPr>
            <w:r>
              <w:rPr>
                <w:rFonts w:ascii="Arial" w:cs="Arial" w:eastAsia="Arial" w:hAnsi="Arial"/>
                <w:sz w:val="14"/>
                <w:szCs w:val="14"/>
                <w:color w:val="auto"/>
              </w:rPr>
              <w:t>Total operating expenses</w:t>
            </w:r>
          </w:p>
        </w:tc>
        <w:tc>
          <w:tcPr>
            <w:tcW w:w="120" w:type="dxa"/>
            <w:vAlign w:val="bottom"/>
          </w:tcPr>
          <w:p>
            <w:pPr>
              <w:jc w:val="right"/>
              <w:spacing w:after="0"/>
              <w:rPr>
                <w:sz w:val="20"/>
                <w:szCs w:val="20"/>
                <w:color w:val="auto"/>
              </w:rPr>
            </w:pPr>
            <w:r>
              <w:rPr>
                <w:rFonts w:ascii="Arial" w:cs="Arial" w:eastAsia="Arial" w:hAnsi="Arial"/>
                <w:sz w:val="14"/>
                <w:szCs w:val="14"/>
                <w:color w:val="auto"/>
                <w:w w:val="76"/>
              </w:rPr>
              <w:t>$</w:t>
            </w:r>
          </w:p>
        </w:tc>
        <w:tc>
          <w:tcPr>
            <w:tcW w:w="680" w:type="dxa"/>
            <w:vAlign w:val="bottom"/>
          </w:tcPr>
          <w:p>
            <w:pPr>
              <w:jc w:val="right"/>
              <w:spacing w:after="0"/>
              <w:rPr>
                <w:sz w:val="20"/>
                <w:szCs w:val="20"/>
                <w:color w:val="auto"/>
              </w:rPr>
            </w:pPr>
            <w:r>
              <w:rPr>
                <w:rFonts w:ascii="Arial" w:cs="Arial" w:eastAsia="Arial" w:hAnsi="Arial"/>
                <w:sz w:val="14"/>
                <w:szCs w:val="14"/>
                <w:color w:val="auto"/>
              </w:rPr>
              <w:t>925</w:t>
            </w:r>
          </w:p>
        </w:tc>
        <w:tc>
          <w:tcPr>
            <w:tcW w:w="240" w:type="dxa"/>
            <w:vAlign w:val="bottom"/>
            <w:gridSpan w:val="2"/>
          </w:tcPr>
          <w:p>
            <w:pPr>
              <w:jc w:val="right"/>
              <w:spacing w:after="0"/>
              <w:rPr>
                <w:sz w:val="20"/>
                <w:szCs w:val="20"/>
                <w:color w:val="auto"/>
              </w:rPr>
            </w:pPr>
            <w:r>
              <w:rPr>
                <w:rFonts w:ascii="Arial" w:cs="Arial" w:eastAsia="Arial" w:hAnsi="Arial"/>
                <w:sz w:val="14"/>
                <w:szCs w:val="14"/>
                <w:color w:val="auto"/>
              </w:rPr>
              <w:t>$</w:t>
            </w:r>
          </w:p>
        </w:tc>
        <w:tc>
          <w:tcPr>
            <w:tcW w:w="480" w:type="dxa"/>
            <w:vAlign w:val="bottom"/>
          </w:tcPr>
          <w:p>
            <w:pPr>
              <w:jc w:val="right"/>
              <w:spacing w:after="0"/>
              <w:rPr>
                <w:sz w:val="20"/>
                <w:szCs w:val="20"/>
                <w:color w:val="auto"/>
              </w:rPr>
            </w:pPr>
            <w:r>
              <w:rPr>
                <w:rFonts w:ascii="Arial" w:cs="Arial" w:eastAsia="Arial" w:hAnsi="Arial"/>
                <w:sz w:val="14"/>
                <w:szCs w:val="14"/>
                <w:color w:val="auto"/>
              </w:rPr>
              <w:t>86</w:t>
            </w:r>
          </w:p>
        </w:tc>
        <w:tc>
          <w:tcPr>
            <w:tcW w:w="740" w:type="dxa"/>
            <w:vAlign w:val="bottom"/>
            <w:gridSpan w:val="2"/>
          </w:tcPr>
          <w:p>
            <w:pPr>
              <w:jc w:val="right"/>
              <w:ind w:right="20"/>
              <w:spacing w:after="0"/>
              <w:rPr>
                <w:sz w:val="20"/>
                <w:szCs w:val="20"/>
                <w:color w:val="auto"/>
              </w:rPr>
            </w:pPr>
            <w:r>
              <w:rPr>
                <w:rFonts w:ascii="Arial" w:cs="Arial" w:eastAsia="Arial" w:hAnsi="Arial"/>
                <w:sz w:val="14"/>
                <w:szCs w:val="14"/>
                <w:color w:val="auto"/>
              </w:rPr>
              <w:t>10 %</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660" w:type="dxa"/>
            <w:vAlign w:val="bottom"/>
          </w:tcPr>
          <w:p>
            <w:pPr>
              <w:jc w:val="right"/>
              <w:spacing w:after="0"/>
              <w:rPr>
                <w:sz w:val="20"/>
                <w:szCs w:val="20"/>
                <w:color w:val="auto"/>
              </w:rPr>
            </w:pPr>
            <w:r>
              <w:rPr>
                <w:rFonts w:ascii="Arial" w:cs="Arial" w:eastAsia="Arial" w:hAnsi="Arial"/>
                <w:sz w:val="14"/>
                <w:szCs w:val="14"/>
                <w:color w:val="auto"/>
              </w:rPr>
              <w:t>839</w:t>
            </w:r>
          </w:p>
        </w:tc>
        <w:tc>
          <w:tcPr>
            <w:tcW w:w="100" w:type="dxa"/>
            <w:vAlign w:val="bottom"/>
          </w:tcPr>
          <w:p>
            <w:pPr>
              <w:spacing w:after="0"/>
              <w:rPr>
                <w:sz w:val="15"/>
                <w:szCs w:val="15"/>
                <w:color w:val="auto"/>
              </w:rPr>
            </w:pPr>
          </w:p>
        </w:tc>
        <w:tc>
          <w:tcPr>
            <w:tcW w:w="43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3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62" w:lineRule="exact"/>
        <w:rPr>
          <w:sz w:val="20"/>
          <w:szCs w:val="20"/>
          <w:color w:val="auto"/>
        </w:rPr>
      </w:pPr>
    </w:p>
    <w:p>
      <w:pPr>
        <w:ind w:right="60" w:firstLine="387"/>
        <w:spacing w:after="0" w:line="271" w:lineRule="auto"/>
        <w:rPr>
          <w:sz w:val="20"/>
          <w:szCs w:val="20"/>
          <w:color w:val="auto"/>
        </w:rPr>
      </w:pPr>
      <w:r>
        <w:rPr>
          <w:rFonts w:ascii="Arial" w:cs="Arial" w:eastAsia="Arial" w:hAnsi="Arial"/>
          <w:sz w:val="15"/>
          <w:szCs w:val="15"/>
          <w:color w:val="auto"/>
        </w:rPr>
        <w:t>The following table highlights our expectation for the absolute dollar change and percent of revenue change between the second quarter of fiscal 2024, as compared to the second quarter of fiscal 2023:</w:t>
      </w:r>
    </w:p>
    <w:p>
      <w:pPr>
        <w:spacing w:after="0" w:line="59" w:lineRule="exact"/>
        <w:rPr>
          <w:sz w:val="20"/>
          <w:szCs w:val="20"/>
          <w:color w:val="auto"/>
        </w:rPr>
      </w:pPr>
    </w:p>
    <w:tbl>
      <w:tblPr>
        <w:tblLayout w:type="fixed"/>
        <w:tblInd w:w="20" w:type="dxa"/>
        <w:tblCellMar>
          <w:top w:w="0" w:type="dxa"/>
          <w:left w:w="0" w:type="dxa"/>
          <w:bottom w:w="0" w:type="dxa"/>
          <w:right w:w="0" w:type="dxa"/>
        </w:tblCellMar>
      </w:tblPr>
      <w:tr>
        <w:trPr>
          <w:trHeight w:val="179"/>
        </w:trPr>
        <w:tc>
          <w:tcPr>
            <w:tcW w:w="6140" w:type="dxa"/>
            <w:vAlign w:val="bottom"/>
            <w:tcBorders>
              <w:bottom w:val="single" w:sz="8" w:color="CCEEFF"/>
            </w:tcBorders>
          </w:tcPr>
          <w:p>
            <w:pPr>
              <w:spacing w:after="0"/>
              <w:rPr>
                <w:sz w:val="15"/>
                <w:szCs w:val="15"/>
                <w:color w:val="auto"/>
              </w:rPr>
            </w:pPr>
          </w:p>
        </w:tc>
        <w:tc>
          <w:tcPr>
            <w:tcW w:w="214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8"/>
              </w:rPr>
              <w:t>Absolute dollar impact</w:t>
            </w:r>
          </w:p>
        </w:tc>
        <w:tc>
          <w:tcPr>
            <w:tcW w:w="120" w:type="dxa"/>
            <w:vAlign w:val="bottom"/>
            <w:tcBorders>
              <w:bottom w:val="single" w:sz="8" w:color="CCEEFF"/>
            </w:tcBorders>
          </w:tcPr>
          <w:p>
            <w:pPr>
              <w:spacing w:after="0"/>
              <w:rPr>
                <w:sz w:val="15"/>
                <w:szCs w:val="15"/>
                <w:color w:val="auto"/>
              </w:rPr>
            </w:pPr>
          </w:p>
        </w:tc>
        <w:tc>
          <w:tcPr>
            <w:tcW w:w="214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9"/>
              </w:rPr>
              <w:t>Percent of net revenue impact</w:t>
            </w:r>
          </w:p>
        </w:tc>
      </w:tr>
      <w:tr>
        <w:trPr>
          <w:trHeight w:val="179"/>
        </w:trPr>
        <w:tc>
          <w:tcPr>
            <w:tcW w:w="6140" w:type="dxa"/>
            <w:vAlign w:val="bottom"/>
            <w:shd w:val="clear" w:color="auto" w:fill="CCEEFF"/>
          </w:tcPr>
          <w:p>
            <w:pPr>
              <w:ind w:left="20"/>
              <w:spacing w:after="0"/>
              <w:rPr>
                <w:sz w:val="20"/>
                <w:szCs w:val="20"/>
                <w:color w:val="auto"/>
              </w:rPr>
            </w:pPr>
            <w:r>
              <w:rPr>
                <w:rFonts w:ascii="Arial" w:cs="Arial" w:eastAsia="Arial" w:hAnsi="Arial"/>
                <w:sz w:val="14"/>
                <w:szCs w:val="14"/>
                <w:color w:val="auto"/>
              </w:rPr>
              <w:t>Cost of revenue</w:t>
            </w: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Increase</w:t>
            </w:r>
          </w:p>
        </w:tc>
        <w:tc>
          <w:tcPr>
            <w:tcW w:w="120" w:type="dxa"/>
            <w:vAlign w:val="bottom"/>
            <w:shd w:val="clear" w:color="auto" w:fill="CCEEFF"/>
          </w:tcPr>
          <w:p>
            <w:pPr>
              <w:spacing w:after="0"/>
              <w:rPr>
                <w:sz w:val="15"/>
                <w:szCs w:val="15"/>
                <w:color w:val="auto"/>
              </w:rPr>
            </w:pP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Flat</w:t>
            </w:r>
          </w:p>
        </w:tc>
      </w:tr>
      <w:tr>
        <w:trPr>
          <w:trHeight w:val="185"/>
        </w:trPr>
        <w:tc>
          <w:tcPr>
            <w:tcW w:w="6140" w:type="dxa"/>
            <w:vAlign w:val="bottom"/>
          </w:tcPr>
          <w:p>
            <w:pPr>
              <w:ind w:left="20"/>
              <w:spacing w:after="0"/>
              <w:rPr>
                <w:sz w:val="20"/>
                <w:szCs w:val="20"/>
                <w:color w:val="auto"/>
              </w:rPr>
            </w:pPr>
            <w:r>
              <w:rPr>
                <w:rFonts w:ascii="Arial" w:cs="Arial" w:eastAsia="Arial" w:hAnsi="Arial"/>
                <w:sz w:val="14"/>
                <w:szCs w:val="14"/>
                <w:color w:val="auto"/>
              </w:rPr>
              <w:t>Marketing and sales</w:t>
            </w:r>
          </w:p>
        </w:tc>
        <w:tc>
          <w:tcPr>
            <w:tcW w:w="2140" w:type="dxa"/>
            <w:vAlign w:val="bottom"/>
          </w:tcPr>
          <w:p>
            <w:pPr>
              <w:jc w:val="center"/>
              <w:spacing w:after="0"/>
              <w:rPr>
                <w:sz w:val="20"/>
                <w:szCs w:val="20"/>
                <w:color w:val="auto"/>
              </w:rPr>
            </w:pPr>
            <w:r>
              <w:rPr>
                <w:rFonts w:ascii="Arial" w:cs="Arial" w:eastAsia="Arial" w:hAnsi="Arial"/>
                <w:sz w:val="14"/>
                <w:szCs w:val="14"/>
                <w:color w:val="auto"/>
              </w:rPr>
              <w:t>Increase</w:t>
            </w:r>
          </w:p>
        </w:tc>
        <w:tc>
          <w:tcPr>
            <w:tcW w:w="120" w:type="dxa"/>
            <w:vAlign w:val="bottom"/>
          </w:tcPr>
          <w:p>
            <w:pPr>
              <w:spacing w:after="0"/>
              <w:rPr>
                <w:sz w:val="16"/>
                <w:szCs w:val="16"/>
                <w:color w:val="auto"/>
              </w:rPr>
            </w:pPr>
          </w:p>
        </w:tc>
        <w:tc>
          <w:tcPr>
            <w:tcW w:w="2140" w:type="dxa"/>
            <w:vAlign w:val="bottom"/>
          </w:tcPr>
          <w:p>
            <w:pPr>
              <w:jc w:val="center"/>
              <w:spacing w:after="0"/>
              <w:rPr>
                <w:sz w:val="20"/>
                <w:szCs w:val="20"/>
                <w:color w:val="auto"/>
              </w:rPr>
            </w:pPr>
            <w:r>
              <w:rPr>
                <w:rFonts w:ascii="Arial" w:cs="Arial" w:eastAsia="Arial" w:hAnsi="Arial"/>
                <w:sz w:val="14"/>
                <w:szCs w:val="14"/>
                <w:color w:val="auto"/>
              </w:rPr>
              <w:t>Flat</w:t>
            </w:r>
          </w:p>
        </w:tc>
      </w:tr>
      <w:tr>
        <w:trPr>
          <w:trHeight w:val="190"/>
        </w:trPr>
        <w:tc>
          <w:tcPr>
            <w:tcW w:w="6140" w:type="dxa"/>
            <w:vAlign w:val="bottom"/>
            <w:shd w:val="clear" w:color="auto" w:fill="CCEEFF"/>
          </w:tcPr>
          <w:p>
            <w:pPr>
              <w:ind w:left="20"/>
              <w:spacing w:after="0"/>
              <w:rPr>
                <w:sz w:val="20"/>
                <w:szCs w:val="20"/>
                <w:color w:val="auto"/>
              </w:rPr>
            </w:pPr>
            <w:r>
              <w:rPr>
                <w:rFonts w:ascii="Arial" w:cs="Arial" w:eastAsia="Arial" w:hAnsi="Arial"/>
                <w:sz w:val="14"/>
                <w:szCs w:val="14"/>
                <w:color w:val="auto"/>
              </w:rPr>
              <w:t>Research and development</w:t>
            </w: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Increase</w:t>
            </w:r>
          </w:p>
        </w:tc>
        <w:tc>
          <w:tcPr>
            <w:tcW w:w="120" w:type="dxa"/>
            <w:vAlign w:val="bottom"/>
            <w:shd w:val="clear" w:color="auto" w:fill="CCEEFF"/>
          </w:tcPr>
          <w:p>
            <w:pPr>
              <w:spacing w:after="0"/>
              <w:rPr>
                <w:sz w:val="16"/>
                <w:szCs w:val="16"/>
                <w:color w:val="auto"/>
              </w:rPr>
            </w:pP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Increase</w:t>
            </w:r>
          </w:p>
        </w:tc>
      </w:tr>
      <w:tr>
        <w:trPr>
          <w:trHeight w:val="185"/>
        </w:trPr>
        <w:tc>
          <w:tcPr>
            <w:tcW w:w="6140" w:type="dxa"/>
            <w:vAlign w:val="bottom"/>
          </w:tcPr>
          <w:p>
            <w:pPr>
              <w:ind w:left="20"/>
              <w:spacing w:after="0"/>
              <w:rPr>
                <w:sz w:val="20"/>
                <w:szCs w:val="20"/>
                <w:color w:val="auto"/>
              </w:rPr>
            </w:pPr>
            <w:r>
              <w:rPr>
                <w:rFonts w:ascii="Arial" w:cs="Arial" w:eastAsia="Arial" w:hAnsi="Arial"/>
                <w:sz w:val="14"/>
                <w:szCs w:val="14"/>
                <w:color w:val="auto"/>
              </w:rPr>
              <w:t>General and administrative</w:t>
            </w:r>
          </w:p>
        </w:tc>
        <w:tc>
          <w:tcPr>
            <w:tcW w:w="2140" w:type="dxa"/>
            <w:vAlign w:val="bottom"/>
          </w:tcPr>
          <w:p>
            <w:pPr>
              <w:jc w:val="center"/>
              <w:spacing w:after="0"/>
              <w:rPr>
                <w:sz w:val="20"/>
                <w:szCs w:val="20"/>
                <w:color w:val="auto"/>
              </w:rPr>
            </w:pPr>
            <w:r>
              <w:rPr>
                <w:rFonts w:ascii="Arial" w:cs="Arial" w:eastAsia="Arial" w:hAnsi="Arial"/>
                <w:sz w:val="14"/>
                <w:szCs w:val="14"/>
                <w:color w:val="auto"/>
              </w:rPr>
              <w:t>Increase</w:t>
            </w:r>
          </w:p>
        </w:tc>
        <w:tc>
          <w:tcPr>
            <w:tcW w:w="120" w:type="dxa"/>
            <w:vAlign w:val="bottom"/>
          </w:tcPr>
          <w:p>
            <w:pPr>
              <w:spacing w:after="0"/>
              <w:rPr>
                <w:sz w:val="16"/>
                <w:szCs w:val="16"/>
                <w:color w:val="auto"/>
              </w:rPr>
            </w:pPr>
          </w:p>
        </w:tc>
        <w:tc>
          <w:tcPr>
            <w:tcW w:w="2140" w:type="dxa"/>
            <w:vAlign w:val="bottom"/>
          </w:tcPr>
          <w:p>
            <w:pPr>
              <w:jc w:val="center"/>
              <w:spacing w:after="0"/>
              <w:rPr>
                <w:sz w:val="20"/>
                <w:szCs w:val="20"/>
                <w:color w:val="auto"/>
              </w:rPr>
            </w:pPr>
            <w:r>
              <w:rPr>
                <w:rFonts w:ascii="Arial" w:cs="Arial" w:eastAsia="Arial" w:hAnsi="Arial"/>
                <w:sz w:val="14"/>
                <w:szCs w:val="14"/>
                <w:color w:val="auto"/>
              </w:rPr>
              <w:t>Flat</w:t>
            </w:r>
          </w:p>
        </w:tc>
      </w:tr>
      <w:tr>
        <w:trPr>
          <w:trHeight w:val="190"/>
        </w:trPr>
        <w:tc>
          <w:tcPr>
            <w:tcW w:w="6140" w:type="dxa"/>
            <w:vAlign w:val="bottom"/>
            <w:shd w:val="clear" w:color="auto" w:fill="CCEEFF"/>
          </w:tcPr>
          <w:p>
            <w:pPr>
              <w:ind w:left="20"/>
              <w:spacing w:after="0"/>
              <w:rPr>
                <w:sz w:val="20"/>
                <w:szCs w:val="20"/>
                <w:color w:val="auto"/>
              </w:rPr>
            </w:pPr>
            <w:r>
              <w:rPr>
                <w:rFonts w:ascii="Arial" w:cs="Arial" w:eastAsia="Arial" w:hAnsi="Arial"/>
                <w:sz w:val="14"/>
                <w:szCs w:val="14"/>
                <w:color w:val="auto"/>
              </w:rPr>
              <w:t>Amortization of purchased intangibles</w:t>
            </w: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Flat</w:t>
            </w:r>
          </w:p>
        </w:tc>
        <w:tc>
          <w:tcPr>
            <w:tcW w:w="120" w:type="dxa"/>
            <w:vAlign w:val="bottom"/>
            <w:shd w:val="clear" w:color="auto" w:fill="CCEEFF"/>
          </w:tcPr>
          <w:p>
            <w:pPr>
              <w:spacing w:after="0"/>
              <w:rPr>
                <w:sz w:val="16"/>
                <w:szCs w:val="16"/>
                <w:color w:val="auto"/>
              </w:rPr>
            </w:pPr>
          </w:p>
        </w:tc>
        <w:tc>
          <w:tcPr>
            <w:tcW w:w="2140" w:type="dxa"/>
            <w:vAlign w:val="bottom"/>
            <w:shd w:val="clear" w:color="auto" w:fill="CCEEFF"/>
          </w:tcPr>
          <w:p>
            <w:pPr>
              <w:jc w:val="center"/>
              <w:spacing w:after="0"/>
              <w:rPr>
                <w:sz w:val="20"/>
                <w:szCs w:val="20"/>
                <w:color w:val="auto"/>
              </w:rPr>
            </w:pPr>
            <w:r>
              <w:rPr>
                <w:rFonts w:ascii="Arial" w:cs="Arial" w:eastAsia="Arial" w:hAnsi="Arial"/>
                <w:sz w:val="14"/>
                <w:szCs w:val="14"/>
                <w:color w:val="auto"/>
              </w:rPr>
              <w:t>Flat</w:t>
            </w:r>
          </w:p>
        </w:tc>
      </w:tr>
    </w:tbl>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39" w:name="page40"/>
    <w:bookmarkEnd w:id="39"/>
    <w:p>
      <w:pPr>
        <w:ind w:left="220"/>
        <w:spacing w:after="0"/>
        <w:rPr>
          <w:sz w:val="20"/>
          <w:szCs w:val="20"/>
          <w:color w:val="auto"/>
        </w:rPr>
      </w:pPr>
      <w:r>
        <w:rPr>
          <w:rFonts w:ascii="Arial" w:cs="Arial" w:eastAsia="Arial" w:hAnsi="Arial"/>
          <w:sz w:val="15"/>
          <w:szCs w:val="15"/>
          <w:i w:val="1"/>
          <w:iCs w:val="1"/>
          <w:color w:val="auto"/>
        </w:rPr>
        <w:t>Interest and Other Income (Expense), Net</w:t>
      </w:r>
    </w:p>
    <w:p>
      <w:pPr>
        <w:spacing w:after="0" w:line="232"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following table sets forth the components of interest and other income (expense), net:</w:t>
      </w:r>
    </w:p>
    <w:p>
      <w:pPr>
        <w:spacing w:after="0" w:line="104"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7940" w:type="dxa"/>
            <w:vAlign w:val="bottom"/>
            <w:shd w:val="clear" w:color="auto" w:fill="CCEEFF"/>
          </w:tcPr>
          <w:p>
            <w:pPr>
              <w:spacing w:after="0"/>
              <w:rPr>
                <w:sz w:val="15"/>
                <w:szCs w:val="15"/>
                <w:color w:val="auto"/>
              </w:rPr>
            </w:pPr>
          </w:p>
        </w:tc>
        <w:tc>
          <w:tcPr>
            <w:tcW w:w="260" w:type="dxa"/>
            <w:vAlign w:val="bottom"/>
            <w:tcBorders>
              <w:bottom w:val="single" w:sz="8" w:color="auto"/>
            </w:tcBorders>
            <w:shd w:val="clear" w:color="auto" w:fill="CCEEFF"/>
          </w:tcPr>
          <w:p>
            <w:pPr>
              <w:spacing w:after="0"/>
              <w:rPr>
                <w:sz w:val="15"/>
                <w:szCs w:val="15"/>
                <w:color w:val="auto"/>
              </w:rPr>
            </w:pPr>
          </w:p>
        </w:tc>
        <w:tc>
          <w:tcPr>
            <w:tcW w:w="2380" w:type="dxa"/>
            <w:vAlign w:val="bottom"/>
            <w:tcBorders>
              <w:bottom w:val="single" w:sz="8" w:color="auto"/>
            </w:tcBorders>
            <w:gridSpan w:val="4"/>
            <w:shd w:val="clear" w:color="auto" w:fill="CCEEFF"/>
          </w:tcPr>
          <w:p>
            <w:pPr>
              <w:jc w:val="right"/>
              <w:ind w:right="351"/>
              <w:spacing w:after="0"/>
              <w:rPr>
                <w:sz w:val="20"/>
                <w:szCs w:val="20"/>
                <w:color w:val="auto"/>
              </w:rPr>
            </w:pPr>
            <w:r>
              <w:rPr>
                <w:rFonts w:ascii="Arial" w:cs="Arial" w:eastAsia="Arial" w:hAnsi="Arial"/>
                <w:sz w:val="13"/>
                <w:szCs w:val="13"/>
                <w:b w:val="1"/>
                <w:bCs w:val="1"/>
                <w:color w:val="auto"/>
              </w:rPr>
              <w:t>Three Months Ended April 30,</w:t>
            </w:r>
          </w:p>
        </w:tc>
      </w:tr>
      <w:tr>
        <w:trPr>
          <w:trHeight w:val="167"/>
        </w:trPr>
        <w:tc>
          <w:tcPr>
            <w:tcW w:w="7940" w:type="dxa"/>
            <w:vAlign w:val="bottom"/>
            <w:tcBorders>
              <w:bottom w:val="single" w:sz="8" w:color="CCEEFF"/>
            </w:tcBorders>
          </w:tcPr>
          <w:p>
            <w:pPr>
              <w:ind w:left="20"/>
              <w:spacing w:after="0"/>
              <w:rPr>
                <w:sz w:val="20"/>
                <w:szCs w:val="20"/>
                <w:color w:val="auto"/>
              </w:rPr>
            </w:pPr>
            <w:r>
              <w:rPr>
                <w:rFonts w:ascii="Arial" w:cs="Arial" w:eastAsia="Arial" w:hAnsi="Arial"/>
                <w:sz w:val="13"/>
                <w:szCs w:val="13"/>
                <w:i w:val="1"/>
                <w:iCs w:val="1"/>
                <w:color w:val="auto"/>
              </w:rPr>
              <w:t>(in millions)</w:t>
            </w:r>
          </w:p>
        </w:tc>
        <w:tc>
          <w:tcPr>
            <w:tcW w:w="26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2"/>
              <w:spacing w:after="0"/>
              <w:rPr>
                <w:sz w:val="20"/>
                <w:szCs w:val="20"/>
                <w:color w:val="auto"/>
              </w:rPr>
            </w:pPr>
            <w:r>
              <w:rPr>
                <w:rFonts w:ascii="Arial" w:cs="Arial" w:eastAsia="Arial" w:hAnsi="Arial"/>
                <w:sz w:val="13"/>
                <w:szCs w:val="13"/>
                <w:b w:val="1"/>
                <w:bCs w:val="1"/>
                <w:color w:val="auto"/>
              </w:rPr>
              <w:t>2023</w:t>
            </w:r>
          </w:p>
        </w:tc>
        <w:tc>
          <w:tcPr>
            <w:tcW w:w="10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jc w:val="right"/>
              <w:ind w:right="431"/>
              <w:spacing w:after="0"/>
              <w:rPr>
                <w:sz w:val="20"/>
                <w:szCs w:val="20"/>
                <w:color w:val="auto"/>
              </w:rPr>
            </w:pPr>
            <w:r>
              <w:rPr>
                <w:rFonts w:ascii="Arial" w:cs="Arial" w:eastAsia="Arial" w:hAnsi="Arial"/>
                <w:sz w:val="13"/>
                <w:szCs w:val="13"/>
                <w:b w:val="1"/>
                <w:bCs w:val="1"/>
                <w:color w:val="auto"/>
              </w:rPr>
              <w:t>2022</w:t>
            </w:r>
          </w:p>
        </w:tc>
      </w:tr>
      <w:tr>
        <w:trPr>
          <w:trHeight w:val="179"/>
        </w:trPr>
        <w:tc>
          <w:tcPr>
            <w:tcW w:w="7940" w:type="dxa"/>
            <w:vAlign w:val="bottom"/>
            <w:shd w:val="clear" w:color="auto" w:fill="CCEEFF"/>
          </w:tcPr>
          <w:p>
            <w:pPr>
              <w:ind w:left="20"/>
              <w:spacing w:after="0"/>
              <w:rPr>
                <w:sz w:val="20"/>
                <w:szCs w:val="20"/>
                <w:color w:val="auto"/>
              </w:rPr>
            </w:pPr>
            <w:r>
              <w:rPr>
                <w:rFonts w:ascii="Arial" w:cs="Arial" w:eastAsia="Arial" w:hAnsi="Arial"/>
                <w:sz w:val="14"/>
                <w:szCs w:val="14"/>
                <w:color w:val="auto"/>
              </w:rPr>
              <w:t>Interest and investment income (expense), net</w:t>
            </w:r>
          </w:p>
        </w:tc>
        <w:tc>
          <w:tcPr>
            <w:tcW w:w="260" w:type="dxa"/>
            <w:vAlign w:val="bottom"/>
            <w:shd w:val="clear" w:color="auto" w:fill="CCEEFF"/>
          </w:tcPr>
          <w:p>
            <w:pPr>
              <w:jc w:val="right"/>
              <w:ind w:right="90"/>
              <w:spacing w:after="0"/>
              <w:rPr>
                <w:sz w:val="20"/>
                <w:szCs w:val="20"/>
                <w:color w:val="auto"/>
              </w:rPr>
            </w:pPr>
            <w:r>
              <w:rPr>
                <w:rFonts w:ascii="Arial" w:cs="Arial" w:eastAsia="Arial" w:hAnsi="Arial"/>
                <w:sz w:val="14"/>
                <w:szCs w:val="14"/>
                <w:color w:val="auto"/>
              </w:rPr>
              <w:t>$</w:t>
            </w:r>
          </w:p>
        </w:tc>
        <w:tc>
          <w:tcPr>
            <w:tcW w:w="102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2</w:t>
            </w:r>
          </w:p>
        </w:tc>
        <w:tc>
          <w:tcPr>
            <w:tcW w:w="380" w:type="dxa"/>
            <w:vAlign w:val="bottom"/>
            <w:gridSpan w:val="2"/>
            <w:shd w:val="clear" w:color="auto" w:fill="CCEEFF"/>
          </w:tcPr>
          <w:p>
            <w:pPr>
              <w:jc w:val="right"/>
              <w:ind w:right="20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(29)</w:t>
            </w:r>
          </w:p>
        </w:tc>
      </w:tr>
      <w:tr>
        <w:trPr>
          <w:trHeight w:val="185"/>
        </w:trPr>
        <w:tc>
          <w:tcPr>
            <w:tcW w:w="7940" w:type="dxa"/>
            <w:vAlign w:val="bottom"/>
          </w:tcPr>
          <w:p>
            <w:pPr>
              <w:ind w:left="20"/>
              <w:spacing w:after="0"/>
              <w:rPr>
                <w:sz w:val="20"/>
                <w:szCs w:val="20"/>
                <w:color w:val="auto"/>
              </w:rPr>
            </w:pPr>
            <w:r>
              <w:rPr>
                <w:rFonts w:ascii="Arial" w:cs="Arial" w:eastAsia="Arial" w:hAnsi="Arial"/>
                <w:sz w:val="14"/>
                <w:szCs w:val="14"/>
                <w:color w:val="auto"/>
              </w:rPr>
              <w:t>Gain on foreign currency</w:t>
            </w:r>
          </w:p>
        </w:tc>
        <w:tc>
          <w:tcPr>
            <w:tcW w:w="260" w:type="dxa"/>
            <w:vAlign w:val="bottom"/>
          </w:tcPr>
          <w:p>
            <w:pPr>
              <w:spacing w:after="0"/>
              <w:rPr>
                <w:sz w:val="16"/>
                <w:szCs w:val="16"/>
                <w:color w:val="auto"/>
              </w:rPr>
            </w:pP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1</w:t>
            </w:r>
          </w:p>
        </w:tc>
        <w:tc>
          <w:tcPr>
            <w:tcW w:w="10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80" w:type="dxa"/>
            <w:vAlign w:val="bottom"/>
          </w:tcPr>
          <w:p>
            <w:pPr>
              <w:jc w:val="right"/>
              <w:ind w:right="11"/>
              <w:spacing w:after="0"/>
              <w:rPr>
                <w:sz w:val="20"/>
                <w:szCs w:val="20"/>
                <w:color w:val="auto"/>
              </w:rPr>
            </w:pPr>
            <w:r>
              <w:rPr>
                <w:rFonts w:ascii="Arial" w:cs="Arial" w:eastAsia="Arial" w:hAnsi="Arial"/>
                <w:sz w:val="14"/>
                <w:szCs w:val="14"/>
                <w:color w:val="auto"/>
              </w:rPr>
              <w:t>10</w:t>
            </w:r>
          </w:p>
        </w:tc>
      </w:tr>
      <w:tr>
        <w:trPr>
          <w:trHeight w:val="190"/>
        </w:trPr>
        <w:tc>
          <w:tcPr>
            <w:tcW w:w="7940" w:type="dxa"/>
            <w:vAlign w:val="bottom"/>
            <w:shd w:val="clear" w:color="auto" w:fill="CCEEFF"/>
          </w:tcPr>
          <w:p>
            <w:pPr>
              <w:ind w:left="20"/>
              <w:spacing w:after="0"/>
              <w:rPr>
                <w:sz w:val="20"/>
                <w:szCs w:val="20"/>
                <w:color w:val="auto"/>
              </w:rPr>
            </w:pPr>
            <w:r>
              <w:rPr>
                <w:rFonts w:ascii="Arial" w:cs="Arial" w:eastAsia="Arial" w:hAnsi="Arial"/>
                <w:sz w:val="14"/>
                <w:szCs w:val="14"/>
                <w:color w:val="auto"/>
              </w:rPr>
              <w:t>Other income</w:t>
            </w:r>
          </w:p>
        </w:tc>
        <w:tc>
          <w:tcPr>
            <w:tcW w:w="26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jc w:val="right"/>
              <w:ind w:right="12"/>
              <w:spacing w:after="0"/>
              <w:rPr>
                <w:sz w:val="20"/>
                <w:szCs w:val="20"/>
                <w:color w:val="auto"/>
              </w:rPr>
            </w:pPr>
            <w:r>
              <w:rPr>
                <w:rFonts w:ascii="Arial" w:cs="Arial" w:eastAsia="Arial" w:hAnsi="Arial"/>
                <w:sz w:val="14"/>
                <w:szCs w:val="14"/>
                <w:color w:val="auto"/>
              </w:rPr>
              <w:t>1</w:t>
            </w:r>
          </w:p>
        </w:tc>
        <w:tc>
          <w:tcPr>
            <w:tcW w:w="100" w:type="dxa"/>
            <w:vAlign w:val="bottom"/>
            <w:shd w:val="clear" w:color="auto" w:fill="CCEEFF"/>
          </w:tcPr>
          <w:p>
            <w:pPr>
              <w:spacing w:after="0"/>
              <w:rPr>
                <w:sz w:val="16"/>
                <w:szCs w:val="16"/>
                <w:color w:val="auto"/>
              </w:rPr>
            </w:pPr>
          </w:p>
        </w:tc>
        <w:tc>
          <w:tcPr>
            <w:tcW w:w="280" w:type="dxa"/>
            <w:vAlign w:val="bottom"/>
            <w:tcBorders>
              <w:bottom w:val="single" w:sz="8" w:color="auto"/>
            </w:tcBorders>
            <w:shd w:val="clear" w:color="auto" w:fill="CCEEFF"/>
          </w:tcPr>
          <w:p>
            <w:pPr>
              <w:spacing w:after="0"/>
              <w:rPr>
                <w:sz w:val="16"/>
                <w:szCs w:val="16"/>
                <w:color w:val="auto"/>
              </w:rPr>
            </w:pPr>
          </w:p>
        </w:tc>
        <w:tc>
          <w:tcPr>
            <w:tcW w:w="9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w:t>
            </w:r>
          </w:p>
        </w:tc>
      </w:tr>
      <w:tr>
        <w:trPr>
          <w:trHeight w:val="177"/>
        </w:trPr>
        <w:tc>
          <w:tcPr>
            <w:tcW w:w="7940" w:type="dxa"/>
            <w:vAlign w:val="bottom"/>
          </w:tcPr>
          <w:p>
            <w:pPr>
              <w:ind w:left="20"/>
              <w:spacing w:after="0"/>
              <w:rPr>
                <w:sz w:val="20"/>
                <w:szCs w:val="20"/>
                <w:color w:val="auto"/>
              </w:rPr>
            </w:pPr>
            <w:r>
              <w:rPr>
                <w:rFonts w:ascii="Arial" w:cs="Arial" w:eastAsia="Arial" w:hAnsi="Arial"/>
                <w:sz w:val="14"/>
                <w:szCs w:val="14"/>
                <w:color w:val="auto"/>
              </w:rPr>
              <w:t>Interest and other income (expense), net</w:t>
            </w:r>
          </w:p>
        </w:tc>
        <w:tc>
          <w:tcPr>
            <w:tcW w:w="260" w:type="dxa"/>
            <w:vAlign w:val="bottom"/>
          </w:tcPr>
          <w:p>
            <w:pPr>
              <w:jc w:val="right"/>
              <w:ind w:right="90"/>
              <w:spacing w:after="0"/>
              <w:rPr>
                <w:sz w:val="20"/>
                <w:szCs w:val="20"/>
                <w:color w:val="auto"/>
              </w:rPr>
            </w:pPr>
            <w:r>
              <w:rPr>
                <w:rFonts w:ascii="Arial" w:cs="Arial" w:eastAsia="Arial" w:hAnsi="Arial"/>
                <w:sz w:val="14"/>
                <w:szCs w:val="14"/>
                <w:color w:val="auto"/>
              </w:rPr>
              <w:t>$</w:t>
            </w:r>
          </w:p>
        </w:tc>
        <w:tc>
          <w:tcPr>
            <w:tcW w:w="1020" w:type="dxa"/>
            <w:vAlign w:val="bottom"/>
          </w:tcPr>
          <w:p>
            <w:pPr>
              <w:jc w:val="right"/>
              <w:ind w:right="12"/>
              <w:spacing w:after="0"/>
              <w:rPr>
                <w:sz w:val="20"/>
                <w:szCs w:val="20"/>
                <w:color w:val="auto"/>
              </w:rPr>
            </w:pPr>
            <w:r>
              <w:rPr>
                <w:rFonts w:ascii="Arial" w:cs="Arial" w:eastAsia="Arial" w:hAnsi="Arial"/>
                <w:sz w:val="14"/>
                <w:szCs w:val="14"/>
                <w:color w:val="auto"/>
              </w:rPr>
              <w:t>4</w:t>
            </w:r>
          </w:p>
        </w:tc>
        <w:tc>
          <w:tcPr>
            <w:tcW w:w="380" w:type="dxa"/>
            <w:vAlign w:val="bottom"/>
            <w:gridSpan w:val="2"/>
          </w:tcPr>
          <w:p>
            <w:pPr>
              <w:jc w:val="right"/>
              <w:ind w:right="200"/>
              <w:spacing w:after="0"/>
              <w:rPr>
                <w:sz w:val="20"/>
                <w:szCs w:val="20"/>
                <w:color w:val="auto"/>
              </w:rPr>
            </w:pPr>
            <w:r>
              <w:rPr>
                <w:rFonts w:ascii="Arial" w:cs="Arial" w:eastAsia="Arial" w:hAnsi="Arial"/>
                <w:sz w:val="14"/>
                <w:szCs w:val="14"/>
                <w:color w:val="auto"/>
              </w:rPr>
              <w:t>$</w:t>
            </w:r>
          </w:p>
        </w:tc>
        <w:tc>
          <w:tcPr>
            <w:tcW w:w="980" w:type="dxa"/>
            <w:vAlign w:val="bottom"/>
          </w:tcPr>
          <w:p>
            <w:pPr>
              <w:jc w:val="right"/>
              <w:spacing w:after="0"/>
              <w:rPr>
                <w:sz w:val="20"/>
                <w:szCs w:val="20"/>
                <w:color w:val="auto"/>
              </w:rPr>
            </w:pPr>
            <w:r>
              <w:rPr>
                <w:rFonts w:ascii="Arial" w:cs="Arial" w:eastAsia="Arial" w:hAnsi="Arial"/>
                <w:sz w:val="14"/>
                <w:szCs w:val="14"/>
                <w:color w:val="auto"/>
              </w:rPr>
              <w:t>(19)</w:t>
            </w:r>
          </w:p>
        </w:tc>
      </w:tr>
      <w:tr>
        <w:trPr>
          <w:trHeight w:val="20"/>
        </w:trPr>
        <w:tc>
          <w:tcPr>
            <w:tcW w:w="7940" w:type="dxa"/>
            <w:vAlign w:val="bottom"/>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r>
    </w:tbl>
    <w:p>
      <w:pPr>
        <w:spacing w:after="0" w:line="286" w:lineRule="exact"/>
        <w:rPr>
          <w:sz w:val="20"/>
          <w:szCs w:val="20"/>
          <w:color w:val="auto"/>
        </w:rPr>
      </w:pPr>
    </w:p>
    <w:p>
      <w:pPr>
        <w:ind w:right="160" w:firstLine="351"/>
        <w:spacing w:after="0" w:line="253" w:lineRule="auto"/>
        <w:rPr>
          <w:sz w:val="20"/>
          <w:szCs w:val="20"/>
          <w:color w:val="auto"/>
        </w:rPr>
      </w:pPr>
      <w:r>
        <w:rPr>
          <w:rFonts w:ascii="Arial" w:cs="Arial" w:eastAsia="Arial" w:hAnsi="Arial"/>
          <w:sz w:val="15"/>
          <w:szCs w:val="15"/>
          <w:color w:val="auto"/>
        </w:rPr>
        <w:t>Interest and other income, net, increased by $23 million during the three months ended April 30, 2023, as compared to the same period in the prior fiscal year. The increase in the three months ended April 30, 2023, as compared to the same period in the prior fiscal year was primarily due to an increase in interest income, gains in the current period as compared to losses in the prior year period for investments in debt and equity securities that are held in a rabbi trust under non-qualified deferred compensation plans, offset by a decrease in gains on foreign currency.</w:t>
      </w:r>
    </w:p>
    <w:p>
      <w:pPr>
        <w:spacing w:after="0" w:line="198" w:lineRule="exact"/>
        <w:rPr>
          <w:sz w:val="20"/>
          <w:szCs w:val="20"/>
          <w:color w:val="auto"/>
        </w:rPr>
      </w:pPr>
    </w:p>
    <w:p>
      <w:pPr>
        <w:ind w:right="400" w:firstLine="351"/>
        <w:spacing w:after="0" w:line="271" w:lineRule="auto"/>
        <w:rPr>
          <w:sz w:val="20"/>
          <w:szCs w:val="20"/>
          <w:color w:val="auto"/>
        </w:rPr>
      </w:pPr>
      <w:r>
        <w:rPr>
          <w:rFonts w:ascii="Arial" w:cs="Arial" w:eastAsia="Arial" w:hAnsi="Arial"/>
          <w:sz w:val="15"/>
          <w:szCs w:val="15"/>
          <w:color w:val="auto"/>
        </w:rPr>
        <w:t>Interest expense and investment income fluctuates based on average cash, marketable securities, debt balances, average maturities, and interest rates.</w:t>
      </w:r>
    </w:p>
    <w:p>
      <w:pPr>
        <w:spacing w:after="0" w:line="185" w:lineRule="exact"/>
        <w:rPr>
          <w:sz w:val="20"/>
          <w:szCs w:val="20"/>
          <w:color w:val="auto"/>
        </w:rPr>
      </w:pPr>
    </w:p>
    <w:p>
      <w:pPr>
        <w:jc w:val="both"/>
        <w:ind w:right="220" w:firstLine="351"/>
        <w:spacing w:after="0" w:line="257" w:lineRule="auto"/>
        <w:rPr>
          <w:sz w:val="20"/>
          <w:szCs w:val="20"/>
          <w:color w:val="auto"/>
        </w:rPr>
      </w:pPr>
      <w:r>
        <w:rPr>
          <w:rFonts w:ascii="Arial" w:cs="Arial" w:eastAsia="Arial" w:hAnsi="Arial"/>
          <w:sz w:val="15"/>
          <w:szCs w:val="15"/>
          <w:color w:val="auto"/>
        </w:rPr>
        <w:t>Gains and losses on foreign currency are primarily due to the impact of re-measuring foreign currency transactions and net monetary assets into the functional currency of the corresponding entity. The amount of the gain or loss on foreign currency is driven by the volume of foreign currency transactions and the foreign currency exchange rates for the period.</w:t>
      </w:r>
    </w:p>
    <w:p>
      <w:pPr>
        <w:spacing w:after="0" w:line="190" w:lineRule="exact"/>
        <w:rPr>
          <w:sz w:val="20"/>
          <w:szCs w:val="20"/>
          <w:color w:val="auto"/>
        </w:rPr>
      </w:pPr>
    </w:p>
    <w:p>
      <w:pPr>
        <w:ind w:left="220"/>
        <w:spacing w:after="0"/>
        <w:rPr>
          <w:sz w:val="20"/>
          <w:szCs w:val="20"/>
          <w:color w:val="auto"/>
        </w:rPr>
      </w:pPr>
      <w:r>
        <w:rPr>
          <w:rFonts w:ascii="Arial" w:cs="Arial" w:eastAsia="Arial" w:hAnsi="Arial"/>
          <w:sz w:val="15"/>
          <w:szCs w:val="15"/>
          <w:i w:val="1"/>
          <w:iCs w:val="1"/>
          <w:color w:val="auto"/>
        </w:rPr>
        <w:t>Provision for Income Taxes</w:t>
      </w:r>
    </w:p>
    <w:p>
      <w:pPr>
        <w:spacing w:after="0" w:line="232" w:lineRule="exact"/>
        <w:rPr>
          <w:sz w:val="20"/>
          <w:szCs w:val="20"/>
          <w:color w:val="auto"/>
        </w:rPr>
      </w:pPr>
    </w:p>
    <w:p>
      <w:pPr>
        <w:ind w:right="240" w:firstLine="387"/>
        <w:spacing w:after="0" w:line="257" w:lineRule="auto"/>
        <w:rPr>
          <w:sz w:val="20"/>
          <w:szCs w:val="20"/>
          <w:color w:val="auto"/>
        </w:rPr>
      </w:pPr>
      <w:r>
        <w:rPr>
          <w:rFonts w:ascii="Arial" w:cs="Arial" w:eastAsia="Arial" w:hAnsi="Arial"/>
          <w:sz w:val="15"/>
          <w:szCs w:val="15"/>
          <w:color w:val="auto"/>
        </w:rPr>
        <w:t>We account for income taxes and the related accounts under the liability method. Deferred tax liabilities and assets are determined based on the difference between the financial statement and tax bases of assets and liabilities, using enacted rates expected to be in effect during the year in which the basis differences reverse.</w:t>
      </w:r>
    </w:p>
    <w:p>
      <w:pPr>
        <w:spacing w:after="0" w:line="196" w:lineRule="exact"/>
        <w:rPr>
          <w:sz w:val="20"/>
          <w:szCs w:val="20"/>
          <w:color w:val="auto"/>
        </w:rPr>
      </w:pPr>
    </w:p>
    <w:p>
      <w:pPr>
        <w:ind w:right="80" w:firstLine="387"/>
        <w:spacing w:after="0" w:line="253" w:lineRule="auto"/>
        <w:rPr>
          <w:sz w:val="20"/>
          <w:szCs w:val="20"/>
          <w:color w:val="auto"/>
        </w:rPr>
      </w:pPr>
      <w:r>
        <w:rPr>
          <w:rFonts w:ascii="Arial" w:cs="Arial" w:eastAsia="Arial" w:hAnsi="Arial"/>
          <w:sz w:val="15"/>
          <w:szCs w:val="15"/>
          <w:color w:val="auto"/>
        </w:rPr>
        <w:t>We had an income tax expense of $ 60 million, relative to pre-tax income of $221 million for the three months ended April 30, 2023, and an income tax expense of $49 million, relative to pre-tax income of $195 million for the three months ended April 30, 2022. Income tax expense for the three months ended April 30, 2023, reflects a reduced U.S. foreign derived intangible income benefit, increased tax expense from foreign currency adjustments from foreign branches, and a reduced tax expense relating to stock-based compensation.</w:t>
      </w:r>
    </w:p>
    <w:p>
      <w:pPr>
        <w:spacing w:after="0" w:line="198" w:lineRule="exact"/>
        <w:rPr>
          <w:sz w:val="20"/>
          <w:szCs w:val="20"/>
          <w:color w:val="auto"/>
        </w:rPr>
      </w:pPr>
    </w:p>
    <w:p>
      <w:pPr>
        <w:ind w:firstLine="387"/>
        <w:spacing w:after="0" w:line="257" w:lineRule="auto"/>
        <w:rPr>
          <w:sz w:val="20"/>
          <w:szCs w:val="20"/>
          <w:color w:val="auto"/>
        </w:rPr>
      </w:pPr>
      <w:r>
        <w:rPr>
          <w:rFonts w:ascii="Arial" w:cs="Arial" w:eastAsia="Arial" w:hAnsi="Arial"/>
          <w:sz w:val="15"/>
          <w:szCs w:val="15"/>
          <w:color w:val="auto"/>
        </w:rPr>
        <w:t>The U.S. Tax Cut and Jobs Act (“Tax Act”) enacted on December 22, 2017 eliminates the option to deduct research and development expenditures and requires taxpayers to capitalize and amortize such expenditures over five or fifteen years beginning in fiscal 2023. Although Congress is considering legislation that would defer the capitalization and amortization requirement, there is no assurance that the provision will be repealed or otherwise modified.</w:t>
      </w:r>
    </w:p>
    <w:p>
      <w:pPr>
        <w:spacing w:after="0" w:line="196" w:lineRule="exact"/>
        <w:rPr>
          <w:sz w:val="20"/>
          <w:szCs w:val="20"/>
          <w:color w:val="auto"/>
        </w:rPr>
      </w:pPr>
    </w:p>
    <w:p>
      <w:pPr>
        <w:ind w:firstLine="387"/>
        <w:spacing w:after="0" w:line="251" w:lineRule="auto"/>
        <w:rPr>
          <w:sz w:val="20"/>
          <w:szCs w:val="20"/>
          <w:color w:val="auto"/>
        </w:rPr>
      </w:pPr>
      <w:r>
        <w:rPr>
          <w:rFonts w:ascii="Arial" w:cs="Arial" w:eastAsia="Arial" w:hAnsi="Arial"/>
          <w:sz w:val="15"/>
          <w:szCs w:val="15"/>
          <w:color w:val="auto"/>
        </w:rPr>
        <w:t>We regularly assess the need for a valuation allowance against our deferred tax assets. In making that assessment, we consider both positive and negative evidence related to the likelihood of realization of the deferred tax assets to determine, based on the weight of available evidence, whether it is more likely than not that some or all of the deferred tax assets will not be realized. We have maintained a valuation allowance on all or part of our Netherlands, Australia, California, Michigan deferred tax assets, as well as our U.S. capital loss deferred tax assets as it is more likely than not that some or all of the deferred tax assets will not be realized.</w:t>
      </w:r>
    </w:p>
    <w:p>
      <w:pPr>
        <w:spacing w:after="0" w:line="199" w:lineRule="exact"/>
        <w:rPr>
          <w:sz w:val="20"/>
          <w:szCs w:val="20"/>
          <w:color w:val="auto"/>
        </w:rPr>
      </w:pPr>
    </w:p>
    <w:p>
      <w:pPr>
        <w:ind w:firstLine="387"/>
        <w:spacing w:after="0" w:line="257" w:lineRule="auto"/>
        <w:rPr>
          <w:sz w:val="20"/>
          <w:szCs w:val="20"/>
          <w:color w:val="auto"/>
        </w:rPr>
      </w:pPr>
      <w:r>
        <w:rPr>
          <w:rFonts w:ascii="Arial" w:cs="Arial" w:eastAsia="Arial" w:hAnsi="Arial"/>
          <w:sz w:val="15"/>
          <w:szCs w:val="15"/>
          <w:color w:val="auto"/>
        </w:rPr>
        <w:t>As we continually strive to optimize our overall business model, tax planning strategies may become feasible and prudent allowing us to realize many of the deferred tax assets that are offset by a valuation allowance; therefore, we will continue to evaluate the ability to utilize the deferred tax assets each quarter, both in the U.S. and in foreign jurisdictions, based on all available evidence, both positive and negative.</w:t>
      </w:r>
    </w:p>
    <w:p>
      <w:pPr>
        <w:spacing w:after="0" w:line="196" w:lineRule="exact"/>
        <w:rPr>
          <w:sz w:val="20"/>
          <w:szCs w:val="20"/>
          <w:color w:val="auto"/>
        </w:rPr>
      </w:pPr>
    </w:p>
    <w:p>
      <w:pPr>
        <w:jc w:val="both"/>
        <w:ind w:right="280" w:firstLine="351"/>
        <w:spacing w:after="0" w:line="257" w:lineRule="auto"/>
        <w:rPr>
          <w:sz w:val="20"/>
          <w:szCs w:val="20"/>
          <w:color w:val="auto"/>
        </w:rPr>
      </w:pPr>
      <w:r>
        <w:rPr>
          <w:rFonts w:ascii="Arial" w:cs="Arial" w:eastAsia="Arial" w:hAnsi="Arial"/>
          <w:sz w:val="15"/>
          <w:szCs w:val="15"/>
          <w:color w:val="auto"/>
        </w:rPr>
        <w:t>As of April 30, 2023, we had $227 million of gross unrecognized tax benefits, of which $189 million would impact the effective tax rate, if recognized. The remaining $38 million would reduce our valuation allowance, if recognized. The amount of unrecognized tax benefits will decrease in the next twelve months for statute lapse of approximately $4 million.</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4" w:right="660" w:bottom="1440" w:gutter="0" w:footer="0" w:header="0"/>
        </w:sectPr>
      </w:pPr>
    </w:p>
    <w:bookmarkStart w:id="40" w:name="page41"/>
    <w:bookmarkEnd w:id="40"/>
    <w:p>
      <w:pPr>
        <w:ind w:right="160" w:firstLine="351"/>
        <w:spacing w:after="0" w:line="257" w:lineRule="auto"/>
        <w:rPr>
          <w:sz w:val="20"/>
          <w:szCs w:val="20"/>
          <w:color w:val="auto"/>
        </w:rPr>
      </w:pPr>
      <w:r>
        <w:rPr>
          <w:rFonts w:ascii="Arial" w:cs="Arial" w:eastAsia="Arial" w:hAnsi="Arial"/>
          <w:sz w:val="15"/>
          <w:szCs w:val="15"/>
          <w:color w:val="auto"/>
        </w:rPr>
        <w:t>We anticipate that the U.S. Department of Treasury will continue to interpret or issue guidance on how provisions of the Tax Act will be applied or otherwise administered. As future guidance is issued, we may adjust the amounts that we have previously recorded that may materially impact our financial statements.</w:t>
      </w:r>
    </w:p>
    <w:p>
      <w:pPr>
        <w:spacing w:after="0" w:line="196" w:lineRule="exact"/>
        <w:rPr>
          <w:sz w:val="20"/>
          <w:szCs w:val="20"/>
          <w:color w:val="auto"/>
        </w:rPr>
      </w:pPr>
    </w:p>
    <w:p>
      <w:pPr>
        <w:ind w:firstLine="351"/>
        <w:spacing w:after="0" w:line="251" w:lineRule="auto"/>
        <w:rPr>
          <w:sz w:val="20"/>
          <w:szCs w:val="20"/>
          <w:color w:val="auto"/>
        </w:rPr>
      </w:pPr>
      <w:r>
        <w:rPr>
          <w:rFonts w:ascii="Arial" w:cs="Arial" w:eastAsia="Arial" w:hAnsi="Arial"/>
          <w:sz w:val="15"/>
          <w:szCs w:val="15"/>
          <w:color w:val="auto"/>
        </w:rPr>
        <w:t>Our future effective annual tax rate may be materially impacted by the amount of benefits and charges from tax amounts associated with our foreign earnings that are taxed at rates different from the federal statutory rate, changes in valuation allowances, level of profit before tax, accounting for uncertain tax positions, business combinations, closure of statute of limitations or settlement of tax audits, and changes in tax laws. A significant amount of our earnings are generated by our European and Asia Pacific subsidiaries. Our future effective tax rates may be adversely affected to the extent earnings are lower than anticipated in countries where we have lower statutory tax rates.</w:t>
      </w:r>
    </w:p>
    <w:p>
      <w:pPr>
        <w:spacing w:after="0" w:line="199" w:lineRule="exact"/>
        <w:rPr>
          <w:sz w:val="20"/>
          <w:szCs w:val="20"/>
          <w:color w:val="auto"/>
        </w:rPr>
      </w:pPr>
    </w:p>
    <w:p>
      <w:pPr>
        <w:ind w:right="60" w:firstLine="351"/>
        <w:spacing w:after="0" w:line="257" w:lineRule="auto"/>
        <w:rPr>
          <w:sz w:val="20"/>
          <w:szCs w:val="20"/>
          <w:color w:val="auto"/>
        </w:rPr>
      </w:pPr>
      <w:r>
        <w:rPr>
          <w:rFonts w:ascii="Arial" w:cs="Arial" w:eastAsia="Arial" w:hAnsi="Arial"/>
          <w:sz w:val="15"/>
          <w:szCs w:val="15"/>
          <w:color w:val="auto"/>
        </w:rPr>
        <w:t>Signed into law on August 16, 2022, the Inflation Reduction Act contains many revisions to the Internal Revenue Code effective in taxable years beginning after December 31, 2022, including a 15% corporate minimum income tax. Autodesk continues to monitor the impact of the Inflation Reduction Act on our consolidated financial statements.</w:t>
      </w:r>
    </w:p>
    <w:p>
      <w:pPr>
        <w:spacing w:after="0" w:line="188"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Other Financial Information</w:t>
      </w:r>
    </w:p>
    <w:p>
      <w:pPr>
        <w:spacing w:after="0" w:line="234" w:lineRule="exact"/>
        <w:rPr>
          <w:sz w:val="20"/>
          <w:szCs w:val="20"/>
          <w:color w:val="auto"/>
        </w:rPr>
      </w:pPr>
    </w:p>
    <w:p>
      <w:pPr>
        <w:ind w:right="120" w:firstLine="387"/>
        <w:spacing w:after="0" w:line="257" w:lineRule="auto"/>
        <w:rPr>
          <w:sz w:val="20"/>
          <w:szCs w:val="20"/>
          <w:color w:val="auto"/>
        </w:rPr>
      </w:pPr>
      <w:r>
        <w:rPr>
          <w:rFonts w:ascii="Arial" w:cs="Arial" w:eastAsia="Arial" w:hAnsi="Arial"/>
          <w:sz w:val="15"/>
          <w:szCs w:val="15"/>
          <w:color w:val="auto"/>
        </w:rPr>
        <w:t>In addition to our results determined under GAAP discussed above, we believe the following non-GAAP measures are useful to investors in evaluating our operating performance. For the three months ended April 30, 2023 and 2022, our gross profit, income from operations, operating margin, net income, and diluted net income per share on a GAAP and non-GAAP basis were as follows (in millions except for operating margin and per share data):</w:t>
      </w:r>
    </w:p>
    <w:p>
      <w:pPr>
        <w:spacing w:after="0" w:line="7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7720" w:type="dxa"/>
            <w:vAlign w:val="bottom"/>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2560" w:type="dxa"/>
            <w:vAlign w:val="bottom"/>
            <w:tcBorders>
              <w:bottom w:val="single" w:sz="8" w:color="auto"/>
            </w:tcBorders>
            <w:gridSpan w:val="3"/>
          </w:tcPr>
          <w:p>
            <w:pPr>
              <w:jc w:val="center"/>
              <w:ind w:right="230"/>
              <w:spacing w:after="0"/>
              <w:rPr>
                <w:sz w:val="20"/>
                <w:szCs w:val="20"/>
                <w:color w:val="auto"/>
              </w:rPr>
            </w:pPr>
            <w:r>
              <w:rPr>
                <w:rFonts w:ascii="Arial" w:cs="Arial" w:eastAsia="Arial" w:hAnsi="Arial"/>
                <w:sz w:val="13"/>
                <w:szCs w:val="13"/>
                <w:b w:val="1"/>
                <w:bCs w:val="1"/>
                <w:color w:val="auto"/>
                <w:w w:val="99"/>
              </w:rPr>
              <w:t>Three Months Ended April 30,</w:t>
            </w:r>
          </w:p>
        </w:tc>
      </w:tr>
      <w:tr>
        <w:trPr>
          <w:trHeight w:val="167"/>
        </w:trPr>
        <w:tc>
          <w:tcPr>
            <w:tcW w:w="7720" w:type="dxa"/>
            <w:vAlign w:val="bottom"/>
          </w:tcPr>
          <w:p>
            <w:pPr>
              <w:spacing w:after="0"/>
              <w:rPr>
                <w:sz w:val="14"/>
                <w:szCs w:val="14"/>
                <w:color w:val="auto"/>
              </w:rPr>
            </w:pPr>
          </w:p>
        </w:tc>
        <w:tc>
          <w:tcPr>
            <w:tcW w:w="300" w:type="dxa"/>
            <w:vAlign w:val="bottom"/>
            <w:tcBorders>
              <w:bottom w:val="single" w:sz="8" w:color="auto"/>
            </w:tcBorders>
          </w:tcPr>
          <w:p>
            <w:pPr>
              <w:spacing w:after="0"/>
              <w:rPr>
                <w:sz w:val="14"/>
                <w:szCs w:val="14"/>
                <w:color w:val="auto"/>
              </w:rPr>
            </w:pPr>
          </w:p>
        </w:tc>
        <w:tc>
          <w:tcPr>
            <w:tcW w:w="1040" w:type="dxa"/>
            <w:vAlign w:val="bottom"/>
            <w:tcBorders>
              <w:bottom w:val="single" w:sz="8" w:color="auto"/>
            </w:tcBorders>
          </w:tcPr>
          <w:p>
            <w:pPr>
              <w:jc w:val="right"/>
              <w:ind w:right="471"/>
              <w:spacing w:after="0"/>
              <w:rPr>
                <w:sz w:val="20"/>
                <w:szCs w:val="20"/>
                <w:color w:val="auto"/>
              </w:rPr>
            </w:pPr>
            <w:r>
              <w:rPr>
                <w:rFonts w:ascii="Arial" w:cs="Arial" w:eastAsia="Arial" w:hAnsi="Arial"/>
                <w:sz w:val="13"/>
                <w:szCs w:val="13"/>
                <w:b w:val="1"/>
                <w:bCs w:val="1"/>
                <w:color w:val="auto"/>
              </w:rPr>
              <w:t>2023</w:t>
            </w:r>
          </w:p>
        </w:tc>
        <w:tc>
          <w:tcPr>
            <w:tcW w:w="54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jc w:val="right"/>
              <w:ind w:right="510"/>
              <w:spacing w:after="0"/>
              <w:rPr>
                <w:sz w:val="20"/>
                <w:szCs w:val="20"/>
                <w:color w:val="auto"/>
              </w:rPr>
            </w:pPr>
            <w:r>
              <w:rPr>
                <w:rFonts w:ascii="Arial" w:cs="Arial" w:eastAsia="Arial" w:hAnsi="Arial"/>
                <w:sz w:val="13"/>
                <w:szCs w:val="13"/>
                <w:b w:val="1"/>
                <w:bCs w:val="1"/>
                <w:color w:val="auto"/>
              </w:rPr>
              <w:t>2022</w:t>
            </w:r>
          </w:p>
        </w:tc>
      </w:tr>
      <w:tr>
        <w:trPr>
          <w:trHeight w:val="167"/>
        </w:trPr>
        <w:tc>
          <w:tcPr>
            <w:tcW w:w="77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1580" w:type="dxa"/>
            <w:vAlign w:val="bottom"/>
            <w:gridSpan w:val="2"/>
          </w:tcPr>
          <w:p>
            <w:pPr>
              <w:jc w:val="center"/>
              <w:ind w:left="611"/>
              <w:spacing w:after="0"/>
              <w:rPr>
                <w:sz w:val="20"/>
                <w:szCs w:val="20"/>
                <w:color w:val="auto"/>
              </w:rPr>
            </w:pPr>
            <w:r>
              <w:rPr>
                <w:rFonts w:ascii="Arial" w:cs="Arial" w:eastAsia="Arial" w:hAnsi="Arial"/>
                <w:sz w:val="13"/>
                <w:szCs w:val="13"/>
                <w:b w:val="1"/>
                <w:bCs w:val="1"/>
                <w:color w:val="auto"/>
                <w:w w:val="96"/>
              </w:rPr>
              <w:t>(Unaudited)</w:t>
            </w:r>
          </w:p>
        </w:tc>
        <w:tc>
          <w:tcPr>
            <w:tcW w:w="980" w:type="dxa"/>
            <w:vAlign w:val="bottom"/>
          </w:tcPr>
          <w:p>
            <w:pPr>
              <w:spacing w:after="0"/>
              <w:rPr>
                <w:sz w:val="14"/>
                <w:szCs w:val="14"/>
                <w:color w:val="auto"/>
              </w:rPr>
            </w:pPr>
          </w:p>
        </w:tc>
      </w:tr>
      <w:tr>
        <w:trPr>
          <w:trHeight w:val="187"/>
        </w:trPr>
        <w:tc>
          <w:tcPr>
            <w:tcW w:w="7720" w:type="dxa"/>
            <w:vAlign w:val="bottom"/>
            <w:shd w:val="clear" w:color="auto" w:fill="CCEEFF"/>
          </w:tcPr>
          <w:p>
            <w:pPr>
              <w:ind w:left="20"/>
              <w:spacing w:after="0"/>
              <w:rPr>
                <w:sz w:val="20"/>
                <w:szCs w:val="20"/>
                <w:color w:val="auto"/>
              </w:rPr>
            </w:pPr>
            <w:r>
              <w:rPr>
                <w:rFonts w:ascii="Arial" w:cs="Arial" w:eastAsia="Arial" w:hAnsi="Arial"/>
                <w:sz w:val="14"/>
                <w:szCs w:val="14"/>
                <w:color w:val="auto"/>
              </w:rPr>
              <w:t>Gross profit</w:t>
            </w:r>
          </w:p>
        </w:tc>
        <w:tc>
          <w:tcPr>
            <w:tcW w:w="300" w:type="dxa"/>
            <w:vAlign w:val="bottom"/>
            <w:shd w:val="clear" w:color="auto" w:fill="CCEEFF"/>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shd w:val="clear" w:color="auto" w:fill="CCEEFF"/>
          </w:tcPr>
          <w:p>
            <w:pPr>
              <w:jc w:val="right"/>
              <w:ind w:right="151"/>
              <w:spacing w:after="0"/>
              <w:rPr>
                <w:sz w:val="20"/>
                <w:szCs w:val="20"/>
                <w:color w:val="auto"/>
              </w:rPr>
            </w:pPr>
            <w:r>
              <w:rPr>
                <w:rFonts w:ascii="Arial" w:cs="Arial" w:eastAsia="Arial" w:hAnsi="Arial"/>
                <w:sz w:val="14"/>
                <w:szCs w:val="14"/>
                <w:color w:val="auto"/>
              </w:rPr>
              <w:t>1,142</w:t>
            </w:r>
          </w:p>
        </w:tc>
        <w:tc>
          <w:tcPr>
            <w:tcW w:w="540" w:type="dxa"/>
            <w:vAlign w:val="bottom"/>
            <w:shd w:val="clear" w:color="auto" w:fill="CCEEFF"/>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1,053</w:t>
            </w:r>
          </w:p>
        </w:tc>
      </w:tr>
      <w:tr>
        <w:trPr>
          <w:trHeight w:val="185"/>
        </w:trPr>
        <w:tc>
          <w:tcPr>
            <w:tcW w:w="7720" w:type="dxa"/>
            <w:vAlign w:val="bottom"/>
          </w:tcPr>
          <w:p>
            <w:pPr>
              <w:ind w:left="20"/>
              <w:spacing w:after="0"/>
              <w:rPr>
                <w:sz w:val="20"/>
                <w:szCs w:val="20"/>
                <w:color w:val="auto"/>
              </w:rPr>
            </w:pPr>
            <w:r>
              <w:rPr>
                <w:rFonts w:ascii="Arial" w:cs="Arial" w:eastAsia="Arial" w:hAnsi="Arial"/>
                <w:sz w:val="14"/>
                <w:szCs w:val="14"/>
                <w:color w:val="auto"/>
              </w:rPr>
              <w:t>Non-GAAP gross profit</w:t>
            </w:r>
          </w:p>
        </w:tc>
        <w:tc>
          <w:tcPr>
            <w:tcW w:w="300" w:type="dxa"/>
            <w:vAlign w:val="bottom"/>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tcPr>
          <w:p>
            <w:pPr>
              <w:jc w:val="right"/>
              <w:ind w:right="151"/>
              <w:spacing w:after="0"/>
              <w:rPr>
                <w:sz w:val="20"/>
                <w:szCs w:val="20"/>
                <w:color w:val="auto"/>
              </w:rPr>
            </w:pPr>
            <w:r>
              <w:rPr>
                <w:rFonts w:ascii="Arial" w:cs="Arial" w:eastAsia="Arial" w:hAnsi="Arial"/>
                <w:sz w:val="14"/>
                <w:szCs w:val="14"/>
                <w:color w:val="auto"/>
              </w:rPr>
              <w:t>1,163</w:t>
            </w:r>
          </w:p>
        </w:tc>
        <w:tc>
          <w:tcPr>
            <w:tcW w:w="540" w:type="dxa"/>
            <w:vAlign w:val="bottom"/>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tcPr>
          <w:p>
            <w:pPr>
              <w:jc w:val="right"/>
              <w:ind w:right="110"/>
              <w:spacing w:after="0"/>
              <w:rPr>
                <w:sz w:val="20"/>
                <w:szCs w:val="20"/>
                <w:color w:val="auto"/>
              </w:rPr>
            </w:pPr>
            <w:r>
              <w:rPr>
                <w:rFonts w:ascii="Arial" w:cs="Arial" w:eastAsia="Arial" w:hAnsi="Arial"/>
                <w:sz w:val="14"/>
                <w:szCs w:val="14"/>
                <w:color w:val="auto"/>
              </w:rPr>
              <w:t>1,077</w:t>
            </w:r>
          </w:p>
        </w:tc>
      </w:tr>
      <w:tr>
        <w:trPr>
          <w:trHeight w:val="190"/>
        </w:trPr>
        <w:tc>
          <w:tcPr>
            <w:tcW w:w="7720" w:type="dxa"/>
            <w:vAlign w:val="bottom"/>
            <w:shd w:val="clear" w:color="auto" w:fill="CCEEFF"/>
          </w:tcPr>
          <w:p>
            <w:pPr>
              <w:ind w:left="20"/>
              <w:spacing w:after="0"/>
              <w:rPr>
                <w:sz w:val="20"/>
                <w:szCs w:val="20"/>
                <w:color w:val="auto"/>
              </w:rPr>
            </w:pPr>
            <w:r>
              <w:rPr>
                <w:rFonts w:ascii="Arial" w:cs="Arial" w:eastAsia="Arial" w:hAnsi="Arial"/>
                <w:sz w:val="14"/>
                <w:szCs w:val="14"/>
                <w:color w:val="auto"/>
              </w:rPr>
              <w:t>Income from operations</w:t>
            </w:r>
          </w:p>
        </w:tc>
        <w:tc>
          <w:tcPr>
            <w:tcW w:w="300" w:type="dxa"/>
            <w:vAlign w:val="bottom"/>
            <w:shd w:val="clear" w:color="auto" w:fill="CCEEFF"/>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shd w:val="clear" w:color="auto" w:fill="CCEEFF"/>
          </w:tcPr>
          <w:p>
            <w:pPr>
              <w:jc w:val="right"/>
              <w:ind w:right="151"/>
              <w:spacing w:after="0"/>
              <w:rPr>
                <w:sz w:val="20"/>
                <w:szCs w:val="20"/>
                <w:color w:val="auto"/>
              </w:rPr>
            </w:pPr>
            <w:r>
              <w:rPr>
                <w:rFonts w:ascii="Arial" w:cs="Arial" w:eastAsia="Arial" w:hAnsi="Arial"/>
                <w:sz w:val="14"/>
                <w:szCs w:val="14"/>
                <w:color w:val="auto"/>
              </w:rPr>
              <w:t>217</w:t>
            </w:r>
          </w:p>
        </w:tc>
        <w:tc>
          <w:tcPr>
            <w:tcW w:w="540" w:type="dxa"/>
            <w:vAlign w:val="bottom"/>
            <w:shd w:val="clear" w:color="auto" w:fill="CCEEFF"/>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214</w:t>
            </w:r>
          </w:p>
        </w:tc>
      </w:tr>
      <w:tr>
        <w:trPr>
          <w:trHeight w:val="185"/>
        </w:trPr>
        <w:tc>
          <w:tcPr>
            <w:tcW w:w="7720" w:type="dxa"/>
            <w:vAlign w:val="bottom"/>
          </w:tcPr>
          <w:p>
            <w:pPr>
              <w:ind w:left="20"/>
              <w:spacing w:after="0"/>
              <w:rPr>
                <w:sz w:val="20"/>
                <w:szCs w:val="20"/>
                <w:color w:val="auto"/>
              </w:rPr>
            </w:pPr>
            <w:r>
              <w:rPr>
                <w:rFonts w:ascii="Arial" w:cs="Arial" w:eastAsia="Arial" w:hAnsi="Arial"/>
                <w:sz w:val="14"/>
                <w:szCs w:val="14"/>
                <w:color w:val="auto"/>
              </w:rPr>
              <w:t>Non-GAAP income from operations</w:t>
            </w:r>
          </w:p>
        </w:tc>
        <w:tc>
          <w:tcPr>
            <w:tcW w:w="300" w:type="dxa"/>
            <w:vAlign w:val="bottom"/>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tcPr>
          <w:p>
            <w:pPr>
              <w:jc w:val="right"/>
              <w:ind w:right="151"/>
              <w:spacing w:after="0"/>
              <w:rPr>
                <w:sz w:val="20"/>
                <w:szCs w:val="20"/>
                <w:color w:val="auto"/>
              </w:rPr>
            </w:pPr>
            <w:r>
              <w:rPr>
                <w:rFonts w:ascii="Arial" w:cs="Arial" w:eastAsia="Arial" w:hAnsi="Arial"/>
                <w:sz w:val="14"/>
                <w:szCs w:val="14"/>
                <w:color w:val="auto"/>
              </w:rPr>
              <w:t>404</w:t>
            </w:r>
          </w:p>
        </w:tc>
        <w:tc>
          <w:tcPr>
            <w:tcW w:w="540" w:type="dxa"/>
            <w:vAlign w:val="bottom"/>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tcPr>
          <w:p>
            <w:pPr>
              <w:jc w:val="right"/>
              <w:ind w:right="110"/>
              <w:spacing w:after="0"/>
              <w:rPr>
                <w:sz w:val="20"/>
                <w:szCs w:val="20"/>
                <w:color w:val="auto"/>
              </w:rPr>
            </w:pPr>
            <w:r>
              <w:rPr>
                <w:rFonts w:ascii="Arial" w:cs="Arial" w:eastAsia="Arial" w:hAnsi="Arial"/>
                <w:sz w:val="14"/>
                <w:szCs w:val="14"/>
                <w:color w:val="auto"/>
              </w:rPr>
              <w:t>397</w:t>
            </w:r>
          </w:p>
        </w:tc>
      </w:tr>
      <w:tr>
        <w:trPr>
          <w:trHeight w:val="190"/>
        </w:trPr>
        <w:tc>
          <w:tcPr>
            <w:tcW w:w="7720" w:type="dxa"/>
            <w:vAlign w:val="bottom"/>
            <w:shd w:val="clear" w:color="auto" w:fill="CCEEFF"/>
          </w:tcPr>
          <w:p>
            <w:pPr>
              <w:ind w:left="20"/>
              <w:spacing w:after="0"/>
              <w:rPr>
                <w:sz w:val="20"/>
                <w:szCs w:val="20"/>
                <w:color w:val="auto"/>
              </w:rPr>
            </w:pPr>
            <w:r>
              <w:rPr>
                <w:rFonts w:ascii="Arial" w:cs="Arial" w:eastAsia="Arial" w:hAnsi="Arial"/>
                <w:sz w:val="14"/>
                <w:szCs w:val="14"/>
                <w:color w:val="auto"/>
              </w:rPr>
              <w:t>Operating margin</w:t>
            </w:r>
          </w:p>
        </w:tc>
        <w:tc>
          <w:tcPr>
            <w:tcW w:w="300" w:type="dxa"/>
            <w:vAlign w:val="bottom"/>
            <w:shd w:val="clear" w:color="auto" w:fill="CCEEFF"/>
          </w:tcPr>
          <w:p>
            <w:pPr>
              <w:spacing w:after="0"/>
              <w:rPr>
                <w:sz w:val="16"/>
                <w:szCs w:val="16"/>
                <w:color w:val="auto"/>
              </w:rPr>
            </w:pPr>
          </w:p>
        </w:tc>
        <w:tc>
          <w:tcPr>
            <w:tcW w:w="104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17 %</w:t>
            </w:r>
          </w:p>
        </w:tc>
        <w:tc>
          <w:tcPr>
            <w:tcW w:w="540" w:type="dxa"/>
            <w:vAlign w:val="bottom"/>
            <w:shd w:val="clear" w:color="auto" w:fill="CCEEFF"/>
          </w:tcPr>
          <w:p>
            <w:pPr>
              <w:spacing w:after="0"/>
              <w:rPr>
                <w:sz w:val="16"/>
                <w:szCs w:val="16"/>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18 %</w:t>
            </w:r>
          </w:p>
        </w:tc>
      </w:tr>
      <w:tr>
        <w:trPr>
          <w:trHeight w:val="185"/>
        </w:trPr>
        <w:tc>
          <w:tcPr>
            <w:tcW w:w="7720" w:type="dxa"/>
            <w:vAlign w:val="bottom"/>
          </w:tcPr>
          <w:p>
            <w:pPr>
              <w:ind w:left="20"/>
              <w:spacing w:after="0"/>
              <w:rPr>
                <w:sz w:val="20"/>
                <w:szCs w:val="20"/>
                <w:color w:val="auto"/>
              </w:rPr>
            </w:pPr>
            <w:r>
              <w:rPr>
                <w:rFonts w:ascii="Arial" w:cs="Arial" w:eastAsia="Arial" w:hAnsi="Arial"/>
                <w:sz w:val="14"/>
                <w:szCs w:val="14"/>
                <w:color w:val="auto"/>
              </w:rPr>
              <w:t>Non-GAAP operating margin</w:t>
            </w:r>
          </w:p>
        </w:tc>
        <w:tc>
          <w:tcPr>
            <w:tcW w:w="300" w:type="dxa"/>
            <w:vAlign w:val="bottom"/>
          </w:tcPr>
          <w:p>
            <w:pPr>
              <w:spacing w:after="0"/>
              <w:rPr>
                <w:sz w:val="16"/>
                <w:szCs w:val="16"/>
                <w:color w:val="auto"/>
              </w:rPr>
            </w:pPr>
          </w:p>
        </w:tc>
        <w:tc>
          <w:tcPr>
            <w:tcW w:w="1040" w:type="dxa"/>
            <w:vAlign w:val="bottom"/>
          </w:tcPr>
          <w:p>
            <w:pPr>
              <w:jc w:val="right"/>
              <w:spacing w:after="0"/>
              <w:rPr>
                <w:sz w:val="20"/>
                <w:szCs w:val="20"/>
                <w:color w:val="auto"/>
              </w:rPr>
            </w:pPr>
            <w:r>
              <w:rPr>
                <w:rFonts w:ascii="Arial" w:cs="Arial" w:eastAsia="Arial" w:hAnsi="Arial"/>
                <w:sz w:val="14"/>
                <w:szCs w:val="14"/>
                <w:color w:val="auto"/>
              </w:rPr>
              <w:t>32 %</w:t>
            </w:r>
          </w:p>
        </w:tc>
        <w:tc>
          <w:tcPr>
            <w:tcW w:w="54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34 %</w:t>
            </w:r>
          </w:p>
        </w:tc>
      </w:tr>
      <w:tr>
        <w:trPr>
          <w:trHeight w:val="190"/>
        </w:trPr>
        <w:tc>
          <w:tcPr>
            <w:tcW w:w="772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income</w:t>
            </w:r>
          </w:p>
        </w:tc>
        <w:tc>
          <w:tcPr>
            <w:tcW w:w="300" w:type="dxa"/>
            <w:vAlign w:val="bottom"/>
            <w:shd w:val="clear" w:color="auto" w:fill="CCEEFF"/>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shd w:val="clear" w:color="auto" w:fill="CCEEFF"/>
          </w:tcPr>
          <w:p>
            <w:pPr>
              <w:jc w:val="right"/>
              <w:ind w:right="151"/>
              <w:spacing w:after="0"/>
              <w:rPr>
                <w:sz w:val="20"/>
                <w:szCs w:val="20"/>
                <w:color w:val="auto"/>
              </w:rPr>
            </w:pPr>
            <w:r>
              <w:rPr>
                <w:rFonts w:ascii="Arial" w:cs="Arial" w:eastAsia="Arial" w:hAnsi="Arial"/>
                <w:sz w:val="14"/>
                <w:szCs w:val="14"/>
                <w:color w:val="auto"/>
              </w:rPr>
              <w:t>161</w:t>
            </w:r>
          </w:p>
        </w:tc>
        <w:tc>
          <w:tcPr>
            <w:tcW w:w="540" w:type="dxa"/>
            <w:vAlign w:val="bottom"/>
            <w:shd w:val="clear" w:color="auto" w:fill="CCEEFF"/>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146</w:t>
            </w:r>
          </w:p>
        </w:tc>
      </w:tr>
      <w:tr>
        <w:trPr>
          <w:trHeight w:val="185"/>
        </w:trPr>
        <w:tc>
          <w:tcPr>
            <w:tcW w:w="7720" w:type="dxa"/>
            <w:vAlign w:val="bottom"/>
          </w:tcPr>
          <w:p>
            <w:pPr>
              <w:ind w:left="20"/>
              <w:spacing w:after="0"/>
              <w:rPr>
                <w:sz w:val="20"/>
                <w:szCs w:val="20"/>
                <w:color w:val="auto"/>
              </w:rPr>
            </w:pPr>
            <w:r>
              <w:rPr>
                <w:rFonts w:ascii="Arial" w:cs="Arial" w:eastAsia="Arial" w:hAnsi="Arial"/>
                <w:sz w:val="14"/>
                <w:szCs w:val="14"/>
                <w:color w:val="auto"/>
              </w:rPr>
              <w:t>Non-GAAP net income</w:t>
            </w:r>
          </w:p>
        </w:tc>
        <w:tc>
          <w:tcPr>
            <w:tcW w:w="300" w:type="dxa"/>
            <w:vAlign w:val="bottom"/>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tcPr>
          <w:p>
            <w:pPr>
              <w:jc w:val="right"/>
              <w:ind w:right="151"/>
              <w:spacing w:after="0"/>
              <w:rPr>
                <w:sz w:val="20"/>
                <w:szCs w:val="20"/>
                <w:color w:val="auto"/>
              </w:rPr>
            </w:pPr>
            <w:r>
              <w:rPr>
                <w:rFonts w:ascii="Arial" w:cs="Arial" w:eastAsia="Arial" w:hAnsi="Arial"/>
                <w:sz w:val="14"/>
                <w:szCs w:val="14"/>
                <w:color w:val="auto"/>
              </w:rPr>
              <w:t>334</w:t>
            </w:r>
          </w:p>
        </w:tc>
        <w:tc>
          <w:tcPr>
            <w:tcW w:w="540" w:type="dxa"/>
            <w:vAlign w:val="bottom"/>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tcPr>
          <w:p>
            <w:pPr>
              <w:jc w:val="right"/>
              <w:ind w:right="110"/>
              <w:spacing w:after="0"/>
              <w:rPr>
                <w:sz w:val="20"/>
                <w:szCs w:val="20"/>
                <w:color w:val="auto"/>
              </w:rPr>
            </w:pPr>
            <w:r>
              <w:rPr>
                <w:rFonts w:ascii="Arial" w:cs="Arial" w:eastAsia="Arial" w:hAnsi="Arial"/>
                <w:sz w:val="14"/>
                <w:szCs w:val="14"/>
                <w:color w:val="auto"/>
              </w:rPr>
              <w:t>314</w:t>
            </w:r>
          </w:p>
        </w:tc>
      </w:tr>
      <w:tr>
        <w:trPr>
          <w:trHeight w:val="190"/>
        </w:trPr>
        <w:tc>
          <w:tcPr>
            <w:tcW w:w="7720" w:type="dxa"/>
            <w:vAlign w:val="bottom"/>
            <w:shd w:val="clear" w:color="auto" w:fill="CCEEFF"/>
          </w:tcPr>
          <w:p>
            <w:pPr>
              <w:ind w:left="20"/>
              <w:spacing w:after="0"/>
              <w:rPr>
                <w:sz w:val="20"/>
                <w:szCs w:val="20"/>
                <w:color w:val="auto"/>
              </w:rPr>
            </w:pPr>
            <w:r>
              <w:rPr>
                <w:rFonts w:ascii="Arial" w:cs="Arial" w:eastAsia="Arial" w:hAnsi="Arial"/>
                <w:sz w:val="14"/>
                <w:szCs w:val="14"/>
                <w:color w:val="auto"/>
              </w:rPr>
              <w:t>GAAP diluted net income per share</w:t>
            </w:r>
          </w:p>
        </w:tc>
        <w:tc>
          <w:tcPr>
            <w:tcW w:w="300" w:type="dxa"/>
            <w:vAlign w:val="bottom"/>
            <w:shd w:val="clear" w:color="auto" w:fill="CCEEFF"/>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shd w:val="clear" w:color="auto" w:fill="CCEEFF"/>
          </w:tcPr>
          <w:p>
            <w:pPr>
              <w:jc w:val="right"/>
              <w:ind w:right="151"/>
              <w:spacing w:after="0"/>
              <w:rPr>
                <w:sz w:val="20"/>
                <w:szCs w:val="20"/>
                <w:color w:val="auto"/>
              </w:rPr>
            </w:pPr>
            <w:r>
              <w:rPr>
                <w:rFonts w:ascii="Arial" w:cs="Arial" w:eastAsia="Arial" w:hAnsi="Arial"/>
                <w:sz w:val="14"/>
                <w:szCs w:val="14"/>
                <w:color w:val="auto"/>
              </w:rPr>
              <w:t>0.75</w:t>
            </w:r>
          </w:p>
        </w:tc>
        <w:tc>
          <w:tcPr>
            <w:tcW w:w="540" w:type="dxa"/>
            <w:vAlign w:val="bottom"/>
            <w:shd w:val="clear" w:color="auto" w:fill="CCEEFF"/>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shd w:val="clear" w:color="auto" w:fill="CCEEFF"/>
          </w:tcPr>
          <w:p>
            <w:pPr>
              <w:jc w:val="right"/>
              <w:ind w:right="130"/>
              <w:spacing w:after="0"/>
              <w:rPr>
                <w:sz w:val="20"/>
                <w:szCs w:val="20"/>
                <w:color w:val="auto"/>
              </w:rPr>
            </w:pPr>
            <w:r>
              <w:rPr>
                <w:rFonts w:ascii="Arial" w:cs="Arial" w:eastAsia="Arial" w:hAnsi="Arial"/>
                <w:sz w:val="14"/>
                <w:szCs w:val="14"/>
                <w:color w:val="auto"/>
              </w:rPr>
              <w:t>0.67</w:t>
            </w:r>
          </w:p>
        </w:tc>
      </w:tr>
      <w:tr>
        <w:trPr>
          <w:trHeight w:val="183"/>
        </w:trPr>
        <w:tc>
          <w:tcPr>
            <w:tcW w:w="7720" w:type="dxa"/>
            <w:vAlign w:val="bottom"/>
          </w:tcPr>
          <w:p>
            <w:pPr>
              <w:ind w:left="20"/>
              <w:spacing w:after="0"/>
              <w:rPr>
                <w:sz w:val="20"/>
                <w:szCs w:val="20"/>
                <w:color w:val="auto"/>
              </w:rPr>
            </w:pPr>
            <w:r>
              <w:rPr>
                <w:rFonts w:ascii="Arial" w:cs="Arial" w:eastAsia="Arial" w:hAnsi="Arial"/>
                <w:sz w:val="14"/>
                <w:szCs w:val="14"/>
                <w:color w:val="auto"/>
              </w:rPr>
              <w:t>Non-GAAP diluted net income per share</w:t>
            </w:r>
          </w:p>
        </w:tc>
        <w:tc>
          <w:tcPr>
            <w:tcW w:w="300" w:type="dxa"/>
            <w:vAlign w:val="bottom"/>
          </w:tcPr>
          <w:p>
            <w:pPr>
              <w:jc w:val="right"/>
              <w:ind w:right="130"/>
              <w:spacing w:after="0"/>
              <w:rPr>
                <w:sz w:val="20"/>
                <w:szCs w:val="20"/>
                <w:color w:val="auto"/>
              </w:rPr>
            </w:pPr>
            <w:r>
              <w:rPr>
                <w:rFonts w:ascii="Arial" w:cs="Arial" w:eastAsia="Arial" w:hAnsi="Arial"/>
                <w:sz w:val="14"/>
                <w:szCs w:val="14"/>
                <w:color w:val="auto"/>
              </w:rPr>
              <w:t>$</w:t>
            </w:r>
          </w:p>
        </w:tc>
        <w:tc>
          <w:tcPr>
            <w:tcW w:w="1040" w:type="dxa"/>
            <w:vAlign w:val="bottom"/>
          </w:tcPr>
          <w:p>
            <w:pPr>
              <w:jc w:val="right"/>
              <w:ind w:right="151"/>
              <w:spacing w:after="0"/>
              <w:rPr>
                <w:sz w:val="20"/>
                <w:szCs w:val="20"/>
                <w:color w:val="auto"/>
              </w:rPr>
            </w:pPr>
            <w:r>
              <w:rPr>
                <w:rFonts w:ascii="Arial" w:cs="Arial" w:eastAsia="Arial" w:hAnsi="Arial"/>
                <w:sz w:val="14"/>
                <w:szCs w:val="14"/>
                <w:color w:val="auto"/>
              </w:rPr>
              <w:t>1.55</w:t>
            </w:r>
          </w:p>
        </w:tc>
        <w:tc>
          <w:tcPr>
            <w:tcW w:w="540" w:type="dxa"/>
            <w:vAlign w:val="bottom"/>
          </w:tcPr>
          <w:p>
            <w:pPr>
              <w:jc w:val="center"/>
              <w:ind w:right="250"/>
              <w:spacing w:after="0"/>
              <w:rPr>
                <w:sz w:val="20"/>
                <w:szCs w:val="20"/>
                <w:color w:val="auto"/>
              </w:rPr>
            </w:pPr>
            <w:r>
              <w:rPr>
                <w:rFonts w:ascii="Arial" w:cs="Arial" w:eastAsia="Arial" w:hAnsi="Arial"/>
                <w:sz w:val="14"/>
                <w:szCs w:val="14"/>
                <w:color w:val="auto"/>
                <w:w w:val="76"/>
              </w:rPr>
              <w:t>$</w:t>
            </w:r>
          </w:p>
        </w:tc>
        <w:tc>
          <w:tcPr>
            <w:tcW w:w="980" w:type="dxa"/>
            <w:vAlign w:val="bottom"/>
          </w:tcPr>
          <w:p>
            <w:pPr>
              <w:jc w:val="right"/>
              <w:ind w:right="130"/>
              <w:spacing w:after="0"/>
              <w:rPr>
                <w:sz w:val="20"/>
                <w:szCs w:val="20"/>
                <w:color w:val="auto"/>
              </w:rPr>
            </w:pPr>
            <w:r>
              <w:rPr>
                <w:rFonts w:ascii="Arial" w:cs="Arial" w:eastAsia="Arial" w:hAnsi="Arial"/>
                <w:sz w:val="14"/>
                <w:szCs w:val="14"/>
                <w:color w:val="auto"/>
              </w:rPr>
              <w:t>1.43</w:t>
            </w:r>
          </w:p>
        </w:tc>
      </w:tr>
    </w:tbl>
    <w:p>
      <w:pPr>
        <w:spacing w:after="0" w:line="291" w:lineRule="exact"/>
        <w:rPr>
          <w:sz w:val="20"/>
          <w:szCs w:val="20"/>
          <w:color w:val="auto"/>
        </w:rPr>
      </w:pPr>
    </w:p>
    <w:p>
      <w:pPr>
        <w:ind w:right="40" w:firstLine="351"/>
        <w:spacing w:after="0" w:line="247" w:lineRule="auto"/>
        <w:rPr>
          <w:sz w:val="20"/>
          <w:szCs w:val="20"/>
          <w:color w:val="auto"/>
        </w:rPr>
      </w:pPr>
      <w:r>
        <w:rPr>
          <w:rFonts w:ascii="Arial" w:cs="Arial" w:eastAsia="Arial" w:hAnsi="Arial"/>
          <w:sz w:val="15"/>
          <w:szCs w:val="15"/>
          <w:color w:val="auto"/>
        </w:rPr>
        <w:t>For our internal budgeting and resource allocation process and as a means to provide consistency in period-to-period comparisons, we use non-GAAP measures to supplement our condensed consolidated financial statements presented on a GAAP basis. These non-GAAP measures do not include certain items that may have a material impact upon our reported financial results. We also use non- GAAP measures in making operating decisions because we believe those measures provide meaningful supplemental information regarding our earning potential and performance for management by excluding certain benefits, credits, expenses, and charges that may not be indicative of our core business operating results. For the reasons set forth below, we believe these non-GAAP financial measures are useful to investors both because (1) they allow for greater transparency with respect to key metrics used by management in its financial and operational decision-making and (2) they are used by our institutional investors and the analyst community to help them analyze the health of our business. This allows investors and others to better understand and evaluate our operating results and future prospects in the same manner as management, compare financial results across accounting periods and to those of peer companies, and to better understand the long-term performance of our core business. We also use some of these measures for purposes of determining company-wide incentive compensation.</w:t>
      </w:r>
    </w:p>
    <w:p>
      <w:pPr>
        <w:spacing w:after="0" w:line="205" w:lineRule="exact"/>
        <w:rPr>
          <w:sz w:val="20"/>
          <w:szCs w:val="20"/>
          <w:color w:val="auto"/>
        </w:rPr>
      </w:pPr>
    </w:p>
    <w:p>
      <w:pPr>
        <w:ind w:right="60" w:firstLine="351"/>
        <w:spacing w:after="0" w:line="249" w:lineRule="auto"/>
        <w:rPr>
          <w:sz w:val="20"/>
          <w:szCs w:val="20"/>
          <w:color w:val="auto"/>
        </w:rPr>
      </w:pPr>
      <w:r>
        <w:rPr>
          <w:rFonts w:ascii="Arial" w:cs="Arial" w:eastAsia="Arial" w:hAnsi="Arial"/>
          <w:sz w:val="15"/>
          <w:szCs w:val="15"/>
          <w:color w:val="auto"/>
        </w:rPr>
        <w:t>There are limitations in using non-GAAP financial measures because non- GAAP financial measures are not prepared in accordance with GAAP and may be different from non-GAAP financial measures used by other companies. The non-GAAP financial measures included above are limited in value because they exclude certain items that may have a material impact upon our reported financial results. In addition, they are subject to inherent limitations as they reflect the exercise of judgments by management about which charges are excluded from the non-GAAP financial measures. We compensate for these limitations by analyzing current and future results on a GAAP basis as well as a non-GAAP basis and also by providing GAAP measures in our public disclosures. The presentation of non-GAAP financial information is meant to be considered in addition to, not as a</w:t>
      </w:r>
    </w:p>
    <w:p>
      <w:pPr>
        <w:spacing w:after="0" w:line="200" w:lineRule="exact"/>
        <w:rPr>
          <w:sz w:val="20"/>
          <w:szCs w:val="20"/>
          <w:color w:val="auto"/>
        </w:rPr>
      </w:pPr>
    </w:p>
    <w:p>
      <w:pPr>
        <w:spacing w:after="0" w:line="273"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41" w:name="page42"/>
    <w:bookmarkEnd w:id="41"/>
    <w:p>
      <w:pPr>
        <w:ind w:right="160"/>
        <w:spacing w:after="0" w:line="257" w:lineRule="auto"/>
        <w:rPr>
          <w:sz w:val="20"/>
          <w:szCs w:val="20"/>
          <w:color w:val="auto"/>
        </w:rPr>
      </w:pPr>
      <w:r>
        <w:rPr>
          <w:rFonts w:ascii="Arial" w:cs="Arial" w:eastAsia="Arial" w:hAnsi="Arial"/>
          <w:sz w:val="15"/>
          <w:szCs w:val="15"/>
          <w:color w:val="auto"/>
        </w:rPr>
        <w:t>substitute for or in isolation from, the directly comparable financial measures prepared in accordance with GAAP. We urge investors to review the reconciliation of our non- GAAP financial measures to the comparable GAAP financial measures included below, and not to rely on any single financial measure to evaluate our business.</w:t>
      </w:r>
    </w:p>
    <w:p>
      <w:pPr>
        <w:spacing w:after="0" w:line="188" w:lineRule="exact"/>
        <w:rPr>
          <w:sz w:val="20"/>
          <w:szCs w:val="20"/>
          <w:color w:val="auto"/>
        </w:rPr>
      </w:pPr>
    </w:p>
    <w:p>
      <w:pPr>
        <w:ind w:right="4620"/>
        <w:spacing w:after="0" w:line="472" w:lineRule="auto"/>
        <w:rPr>
          <w:sz w:val="20"/>
          <w:szCs w:val="20"/>
          <w:color w:val="auto"/>
        </w:rPr>
      </w:pPr>
      <w:r>
        <w:rPr>
          <w:rFonts w:ascii="Arial" w:cs="Arial" w:eastAsia="Arial" w:hAnsi="Arial"/>
          <w:sz w:val="15"/>
          <w:szCs w:val="15"/>
          <w:b w:val="1"/>
          <w:bCs w:val="1"/>
          <w:color w:val="auto"/>
        </w:rPr>
        <w:t xml:space="preserve">Reconciliation of GAAP Financial Measures to Non-GAAP Financial Measures </w:t>
      </w:r>
      <w:r>
        <w:rPr>
          <w:rFonts w:ascii="Arial" w:cs="Arial" w:eastAsia="Arial" w:hAnsi="Arial"/>
          <w:sz w:val="15"/>
          <w:szCs w:val="15"/>
          <w:color w:val="auto"/>
        </w:rPr>
        <w:t>(In millions except for operating margin and per share data):</w:t>
      </w:r>
    </w:p>
    <w:p>
      <w:pPr>
        <w:spacing w:after="0" w:line="1" w:lineRule="exact"/>
        <w:rPr>
          <w:sz w:val="20"/>
          <w:szCs w:val="20"/>
          <w:color w:val="auto"/>
        </w:rPr>
      </w:pPr>
    </w:p>
    <w:tbl>
      <w:tblPr>
        <w:tblLayout w:type="fixed"/>
        <w:tblInd w:w="340" w:type="dxa"/>
        <w:tblCellMar>
          <w:top w:w="0" w:type="dxa"/>
          <w:left w:w="0" w:type="dxa"/>
          <w:bottom w:w="0" w:type="dxa"/>
          <w:right w:w="0" w:type="dxa"/>
        </w:tblCellMar>
      </w:tblPr>
      <w:tr>
        <w:trPr>
          <w:trHeight w:val="179"/>
        </w:trPr>
        <w:tc>
          <w:tcPr>
            <w:tcW w:w="7280" w:type="dxa"/>
            <w:vAlign w:val="bottom"/>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2380" w:type="dxa"/>
            <w:vAlign w:val="bottom"/>
            <w:tcBorders>
              <w:bottom w:val="single" w:sz="8" w:color="auto"/>
            </w:tcBorders>
            <w:gridSpan w:val="4"/>
          </w:tcPr>
          <w:p>
            <w:pPr>
              <w:jc w:val="right"/>
              <w:ind w:right="330"/>
              <w:spacing w:after="0"/>
              <w:rPr>
                <w:sz w:val="20"/>
                <w:szCs w:val="20"/>
                <w:color w:val="auto"/>
              </w:rPr>
            </w:pPr>
            <w:r>
              <w:rPr>
                <w:rFonts w:ascii="Arial" w:cs="Arial" w:eastAsia="Arial" w:hAnsi="Arial"/>
                <w:sz w:val="13"/>
                <w:szCs w:val="13"/>
                <w:b w:val="1"/>
                <w:bCs w:val="1"/>
                <w:color w:val="auto"/>
              </w:rPr>
              <w:t>Three Months Ended April 30,</w:t>
            </w:r>
          </w:p>
        </w:tc>
      </w:tr>
      <w:tr>
        <w:trPr>
          <w:trHeight w:val="167"/>
        </w:trPr>
        <w:tc>
          <w:tcPr>
            <w:tcW w:w="7280" w:type="dxa"/>
            <w:vAlign w:val="bottom"/>
          </w:tcPr>
          <w:p>
            <w:pPr>
              <w:spacing w:after="0"/>
              <w:rPr>
                <w:sz w:val="14"/>
                <w:szCs w:val="14"/>
                <w:color w:val="auto"/>
              </w:rPr>
            </w:pPr>
          </w:p>
        </w:tc>
        <w:tc>
          <w:tcPr>
            <w:tcW w:w="24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0"/>
              <w:spacing w:after="0"/>
              <w:rPr>
                <w:sz w:val="20"/>
                <w:szCs w:val="20"/>
                <w:color w:val="auto"/>
              </w:rPr>
            </w:pPr>
            <w:r>
              <w:rPr>
                <w:rFonts w:ascii="Arial" w:cs="Arial" w:eastAsia="Arial" w:hAnsi="Arial"/>
                <w:sz w:val="13"/>
                <w:szCs w:val="13"/>
                <w:b w:val="1"/>
                <w:bCs w:val="1"/>
                <w:color w:val="auto"/>
              </w:rPr>
              <w:t>2023</w:t>
            </w:r>
          </w:p>
        </w:tc>
        <w:tc>
          <w:tcPr>
            <w:tcW w:w="100" w:type="dxa"/>
            <w:vAlign w:val="bottom"/>
            <w:tcBorders>
              <w:bottom w:val="single" w:sz="8" w:color="auto"/>
            </w:tcBorders>
          </w:tcPr>
          <w:p>
            <w:pPr>
              <w:spacing w:after="0"/>
              <w:rPr>
                <w:sz w:val="14"/>
                <w:szCs w:val="14"/>
                <w:color w:val="auto"/>
              </w:rPr>
            </w:pPr>
          </w:p>
        </w:tc>
        <w:tc>
          <w:tcPr>
            <w:tcW w:w="400" w:type="dxa"/>
            <w:vAlign w:val="bottom"/>
            <w:tcBorders>
              <w:bottom w:val="single" w:sz="8" w:color="auto"/>
            </w:tcBorders>
          </w:tcPr>
          <w:p>
            <w:pPr>
              <w:spacing w:after="0"/>
              <w:rPr>
                <w:sz w:val="14"/>
                <w:szCs w:val="14"/>
                <w:color w:val="auto"/>
              </w:rPr>
            </w:pPr>
          </w:p>
        </w:tc>
        <w:tc>
          <w:tcPr>
            <w:tcW w:w="860" w:type="dxa"/>
            <w:vAlign w:val="bottom"/>
            <w:tcBorders>
              <w:bottom w:val="single" w:sz="8" w:color="auto"/>
            </w:tcBorders>
          </w:tcPr>
          <w:p>
            <w:pPr>
              <w:jc w:val="right"/>
              <w:ind w:right="410"/>
              <w:spacing w:after="0"/>
              <w:rPr>
                <w:sz w:val="20"/>
                <w:szCs w:val="20"/>
                <w:color w:val="auto"/>
              </w:rPr>
            </w:pPr>
            <w:r>
              <w:rPr>
                <w:rFonts w:ascii="Arial" w:cs="Arial" w:eastAsia="Arial" w:hAnsi="Arial"/>
                <w:sz w:val="13"/>
                <w:szCs w:val="13"/>
                <w:b w:val="1"/>
                <w:bCs w:val="1"/>
                <w:color w:val="auto"/>
              </w:rPr>
              <w:t>2022</w:t>
            </w:r>
          </w:p>
        </w:tc>
      </w:tr>
      <w:tr>
        <w:trPr>
          <w:trHeight w:val="167"/>
        </w:trPr>
        <w:tc>
          <w:tcPr>
            <w:tcW w:w="7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520" w:type="dxa"/>
            <w:vAlign w:val="bottom"/>
            <w:gridSpan w:val="3"/>
          </w:tcPr>
          <w:p>
            <w:pPr>
              <w:ind w:left="720"/>
              <w:spacing w:after="0"/>
              <w:rPr>
                <w:sz w:val="20"/>
                <w:szCs w:val="20"/>
                <w:color w:val="auto"/>
              </w:rPr>
            </w:pPr>
            <w:r>
              <w:rPr>
                <w:rFonts w:ascii="Arial" w:cs="Arial" w:eastAsia="Arial" w:hAnsi="Arial"/>
                <w:sz w:val="13"/>
                <w:szCs w:val="13"/>
                <w:b w:val="1"/>
                <w:bCs w:val="1"/>
                <w:color w:val="auto"/>
              </w:rPr>
              <w:t>(Unaudited)</w:t>
            </w:r>
          </w:p>
        </w:tc>
        <w:tc>
          <w:tcPr>
            <w:tcW w:w="860" w:type="dxa"/>
            <w:vAlign w:val="bottom"/>
          </w:tcPr>
          <w:p>
            <w:pPr>
              <w:spacing w:after="0"/>
              <w:rPr>
                <w:sz w:val="14"/>
                <w:szCs w:val="14"/>
                <w:color w:val="auto"/>
              </w:rPr>
            </w:pPr>
          </w:p>
        </w:tc>
      </w:tr>
      <w:tr>
        <w:trPr>
          <w:trHeight w:val="187"/>
        </w:trPr>
        <w:tc>
          <w:tcPr>
            <w:tcW w:w="7280" w:type="dxa"/>
            <w:vAlign w:val="bottom"/>
            <w:shd w:val="clear" w:color="auto" w:fill="CCEEFF"/>
          </w:tcPr>
          <w:p>
            <w:pPr>
              <w:spacing w:after="0"/>
              <w:rPr>
                <w:sz w:val="20"/>
                <w:szCs w:val="20"/>
                <w:color w:val="auto"/>
              </w:rPr>
            </w:pPr>
            <w:r>
              <w:rPr>
                <w:rFonts w:ascii="Arial" w:cs="Arial" w:eastAsia="Arial" w:hAnsi="Arial"/>
                <w:sz w:val="14"/>
                <w:szCs w:val="14"/>
                <w:color w:val="auto"/>
              </w:rPr>
              <w:t>Gross profit</w:t>
            </w:r>
          </w:p>
        </w:tc>
        <w:tc>
          <w:tcPr>
            <w:tcW w:w="240" w:type="dxa"/>
            <w:vAlign w:val="bottom"/>
            <w:shd w:val="clear" w:color="auto" w:fill="CCEEFF"/>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1,142</w:t>
            </w:r>
          </w:p>
        </w:tc>
        <w:tc>
          <w:tcPr>
            <w:tcW w:w="500" w:type="dxa"/>
            <w:vAlign w:val="bottom"/>
            <w:gridSpan w:val="2"/>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1,053</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Stock-based compensation expense</w:t>
            </w:r>
          </w:p>
        </w:tc>
        <w:tc>
          <w:tcPr>
            <w:tcW w:w="240" w:type="dxa"/>
            <w:vAlign w:val="bottom"/>
          </w:tcPr>
          <w:p>
            <w:pPr>
              <w:spacing w:after="0"/>
              <w:rPr>
                <w:sz w:val="16"/>
                <w:szCs w:val="16"/>
                <w:color w:val="auto"/>
              </w:rPr>
            </w:pP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12</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11</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Amortization of developed technologies</w:t>
            </w:r>
          </w:p>
        </w:tc>
        <w:tc>
          <w:tcPr>
            <w:tcW w:w="24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jc w:val="right"/>
              <w:ind w:right="110"/>
              <w:spacing w:after="0"/>
              <w:rPr>
                <w:sz w:val="20"/>
                <w:szCs w:val="20"/>
                <w:color w:val="auto"/>
              </w:rPr>
            </w:pPr>
            <w:r>
              <w:rPr>
                <w:rFonts w:ascii="Arial" w:cs="Arial" w:eastAsia="Arial" w:hAnsi="Arial"/>
                <w:sz w:val="14"/>
                <w:szCs w:val="14"/>
                <w:color w:val="auto"/>
              </w:rPr>
              <w:t>9</w:t>
            </w:r>
          </w:p>
        </w:tc>
        <w:tc>
          <w:tcPr>
            <w:tcW w:w="100" w:type="dxa"/>
            <w:vAlign w:val="bottom"/>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spacing w:after="0"/>
              <w:rPr>
                <w:sz w:val="16"/>
                <w:szCs w:val="16"/>
                <w:color w:val="auto"/>
              </w:rPr>
            </w:pPr>
          </w:p>
        </w:tc>
        <w:tc>
          <w:tcPr>
            <w:tcW w:w="860" w:type="dxa"/>
            <w:vAlign w:val="bottom"/>
            <w:tcBorders>
              <w:bottom w:val="single" w:sz="8" w:color="auto"/>
            </w:tcBorders>
            <w:shd w:val="clear" w:color="auto" w:fill="CCEEFF"/>
          </w:tcPr>
          <w:p>
            <w:pPr>
              <w:jc w:val="right"/>
              <w:ind w:right="110"/>
              <w:spacing w:after="0"/>
              <w:rPr>
                <w:sz w:val="20"/>
                <w:szCs w:val="20"/>
                <w:color w:val="auto"/>
              </w:rPr>
            </w:pPr>
            <w:r>
              <w:rPr>
                <w:rFonts w:ascii="Arial" w:cs="Arial" w:eastAsia="Arial" w:hAnsi="Arial"/>
                <w:sz w:val="14"/>
                <w:szCs w:val="14"/>
                <w:color w:val="auto"/>
              </w:rPr>
              <w:t>13</w:t>
            </w:r>
          </w:p>
        </w:tc>
      </w:tr>
      <w:tr>
        <w:trPr>
          <w:trHeight w:val="177"/>
        </w:trPr>
        <w:tc>
          <w:tcPr>
            <w:tcW w:w="7280" w:type="dxa"/>
            <w:vAlign w:val="bottom"/>
          </w:tcPr>
          <w:p>
            <w:pPr>
              <w:spacing w:after="0"/>
              <w:rPr>
                <w:sz w:val="20"/>
                <w:szCs w:val="20"/>
                <w:color w:val="auto"/>
              </w:rPr>
            </w:pPr>
            <w:r>
              <w:rPr>
                <w:rFonts w:ascii="Arial" w:cs="Arial" w:eastAsia="Arial" w:hAnsi="Arial"/>
                <w:sz w:val="14"/>
                <w:szCs w:val="14"/>
                <w:color w:val="auto"/>
              </w:rPr>
              <w:t>Non-GAAP gross profit</w:t>
            </w:r>
          </w:p>
        </w:tc>
        <w:tc>
          <w:tcPr>
            <w:tcW w:w="240" w:type="dxa"/>
            <w:vAlign w:val="bottom"/>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1,163</w:t>
            </w:r>
          </w:p>
        </w:tc>
        <w:tc>
          <w:tcPr>
            <w:tcW w:w="500" w:type="dxa"/>
            <w:vAlign w:val="bottom"/>
            <w:gridSpan w:val="2"/>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1,077</w:t>
            </w:r>
          </w:p>
        </w:tc>
      </w:tr>
      <w:tr>
        <w:trPr>
          <w:trHeight w:val="20"/>
        </w:trPr>
        <w:tc>
          <w:tcPr>
            <w:tcW w:w="7280" w:type="dxa"/>
            <w:vAlign w:val="bottom"/>
            <w:tcBorders>
              <w:bottom w:val="single" w:sz="8" w:color="CCEEFF"/>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r>
      <w:tr>
        <w:trPr>
          <w:trHeight w:val="177"/>
        </w:trPr>
        <w:tc>
          <w:tcPr>
            <w:tcW w:w="7280" w:type="dxa"/>
            <w:vAlign w:val="bottom"/>
            <w:shd w:val="clear" w:color="auto" w:fill="CCEEFF"/>
          </w:tcPr>
          <w:p>
            <w:pPr>
              <w:spacing w:after="0"/>
              <w:rPr>
                <w:sz w:val="15"/>
                <w:szCs w:val="15"/>
                <w:color w:val="auto"/>
              </w:rPr>
            </w:pPr>
          </w:p>
        </w:tc>
        <w:tc>
          <w:tcPr>
            <w:tcW w:w="240" w:type="dxa"/>
            <w:vAlign w:val="bottom"/>
            <w:shd w:val="clear" w:color="auto" w:fill="CCEEFF"/>
          </w:tcPr>
          <w:p>
            <w:pPr>
              <w:spacing w:after="0"/>
              <w:rPr>
                <w:sz w:val="15"/>
                <w:szCs w:val="15"/>
                <w:color w:val="auto"/>
              </w:rPr>
            </w:pPr>
          </w:p>
        </w:tc>
        <w:tc>
          <w:tcPr>
            <w:tcW w:w="102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40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r>
      <w:tr>
        <w:trPr>
          <w:trHeight w:val="185"/>
        </w:trPr>
        <w:tc>
          <w:tcPr>
            <w:tcW w:w="7280" w:type="dxa"/>
            <w:vAlign w:val="bottom"/>
          </w:tcPr>
          <w:p>
            <w:pPr>
              <w:spacing w:after="0"/>
              <w:rPr>
                <w:sz w:val="20"/>
                <w:szCs w:val="20"/>
                <w:color w:val="auto"/>
              </w:rPr>
            </w:pPr>
            <w:r>
              <w:rPr>
                <w:rFonts w:ascii="Arial" w:cs="Arial" w:eastAsia="Arial" w:hAnsi="Arial"/>
                <w:sz w:val="14"/>
                <w:szCs w:val="14"/>
                <w:color w:val="auto"/>
              </w:rPr>
              <w:t>Income from operations</w:t>
            </w:r>
          </w:p>
        </w:tc>
        <w:tc>
          <w:tcPr>
            <w:tcW w:w="240" w:type="dxa"/>
            <w:vAlign w:val="bottom"/>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217</w:t>
            </w:r>
          </w:p>
        </w:tc>
        <w:tc>
          <w:tcPr>
            <w:tcW w:w="500" w:type="dxa"/>
            <w:vAlign w:val="bottom"/>
            <w:gridSpan w:val="2"/>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214</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Stock-based compensation expense</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165</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155</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Amortization of developed technologies</w:t>
            </w:r>
          </w:p>
        </w:tc>
        <w:tc>
          <w:tcPr>
            <w:tcW w:w="240" w:type="dxa"/>
            <w:vAlign w:val="bottom"/>
          </w:tcPr>
          <w:p>
            <w:pPr>
              <w:spacing w:after="0"/>
              <w:rPr>
                <w:sz w:val="16"/>
                <w:szCs w:val="16"/>
                <w:color w:val="auto"/>
              </w:rPr>
            </w:pP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9</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13</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Amortization of purchased intangibles</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10</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11</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Acquisition-related costs</w:t>
            </w:r>
          </w:p>
        </w:tc>
        <w:tc>
          <w:tcPr>
            <w:tcW w:w="240" w:type="dxa"/>
            <w:vAlign w:val="bottom"/>
          </w:tcPr>
          <w:p>
            <w:pPr>
              <w:spacing w:after="0"/>
              <w:rPr>
                <w:sz w:val="16"/>
                <w:szCs w:val="16"/>
                <w:color w:val="auto"/>
              </w:rPr>
            </w:pP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3</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3</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Lease-related asset impairments and other charges</w:t>
            </w:r>
          </w:p>
        </w:tc>
        <w:tc>
          <w:tcPr>
            <w:tcW w:w="24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jc w:val="right"/>
              <w:ind w:right="11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spacing w:after="0"/>
              <w:rPr>
                <w:sz w:val="16"/>
                <w:szCs w:val="16"/>
                <w:color w:val="auto"/>
              </w:rPr>
            </w:pPr>
          </w:p>
        </w:tc>
        <w:tc>
          <w:tcPr>
            <w:tcW w:w="860" w:type="dxa"/>
            <w:vAlign w:val="bottom"/>
            <w:tcBorders>
              <w:bottom w:val="single" w:sz="8" w:color="auto"/>
            </w:tcBorders>
            <w:shd w:val="clear" w:color="auto" w:fill="CCEEFF"/>
          </w:tcPr>
          <w:p>
            <w:pPr>
              <w:jc w:val="right"/>
              <w:ind w:right="110"/>
              <w:spacing w:after="0"/>
              <w:rPr>
                <w:sz w:val="20"/>
                <w:szCs w:val="20"/>
                <w:color w:val="auto"/>
              </w:rPr>
            </w:pPr>
            <w:r>
              <w:rPr>
                <w:rFonts w:ascii="Arial" w:cs="Arial" w:eastAsia="Arial" w:hAnsi="Arial"/>
                <w:sz w:val="14"/>
                <w:szCs w:val="14"/>
                <w:color w:val="auto"/>
              </w:rPr>
              <w:t>1</w:t>
            </w:r>
          </w:p>
        </w:tc>
      </w:tr>
      <w:tr>
        <w:trPr>
          <w:trHeight w:val="177"/>
        </w:trPr>
        <w:tc>
          <w:tcPr>
            <w:tcW w:w="7280" w:type="dxa"/>
            <w:vAlign w:val="bottom"/>
          </w:tcPr>
          <w:p>
            <w:pPr>
              <w:spacing w:after="0"/>
              <w:rPr>
                <w:sz w:val="20"/>
                <w:szCs w:val="20"/>
                <w:color w:val="auto"/>
              </w:rPr>
            </w:pPr>
            <w:r>
              <w:rPr>
                <w:rFonts w:ascii="Arial" w:cs="Arial" w:eastAsia="Arial" w:hAnsi="Arial"/>
                <w:sz w:val="14"/>
                <w:szCs w:val="14"/>
                <w:color w:val="auto"/>
              </w:rPr>
              <w:t>Non-GAAP income from operations</w:t>
            </w:r>
          </w:p>
        </w:tc>
        <w:tc>
          <w:tcPr>
            <w:tcW w:w="240" w:type="dxa"/>
            <w:vAlign w:val="bottom"/>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404</w:t>
            </w:r>
          </w:p>
        </w:tc>
        <w:tc>
          <w:tcPr>
            <w:tcW w:w="500" w:type="dxa"/>
            <w:vAlign w:val="bottom"/>
            <w:gridSpan w:val="2"/>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397</w:t>
            </w:r>
          </w:p>
        </w:tc>
      </w:tr>
      <w:tr>
        <w:trPr>
          <w:trHeight w:val="20"/>
        </w:trPr>
        <w:tc>
          <w:tcPr>
            <w:tcW w:w="7280" w:type="dxa"/>
            <w:vAlign w:val="bottom"/>
            <w:tcBorders>
              <w:bottom w:val="single" w:sz="8" w:color="CCEEFF"/>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r>
      <w:tr>
        <w:trPr>
          <w:trHeight w:val="177"/>
        </w:trPr>
        <w:tc>
          <w:tcPr>
            <w:tcW w:w="7280" w:type="dxa"/>
            <w:vAlign w:val="bottom"/>
            <w:shd w:val="clear" w:color="auto" w:fill="CCEEFF"/>
          </w:tcPr>
          <w:p>
            <w:pPr>
              <w:spacing w:after="0"/>
              <w:rPr>
                <w:sz w:val="15"/>
                <w:szCs w:val="15"/>
                <w:color w:val="auto"/>
              </w:rPr>
            </w:pPr>
          </w:p>
        </w:tc>
        <w:tc>
          <w:tcPr>
            <w:tcW w:w="240" w:type="dxa"/>
            <w:vAlign w:val="bottom"/>
            <w:shd w:val="clear" w:color="auto" w:fill="CCEEFF"/>
          </w:tcPr>
          <w:p>
            <w:pPr>
              <w:spacing w:after="0"/>
              <w:rPr>
                <w:sz w:val="15"/>
                <w:szCs w:val="15"/>
                <w:color w:val="auto"/>
              </w:rPr>
            </w:pPr>
          </w:p>
        </w:tc>
        <w:tc>
          <w:tcPr>
            <w:tcW w:w="102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40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r>
      <w:tr>
        <w:trPr>
          <w:trHeight w:val="185"/>
        </w:trPr>
        <w:tc>
          <w:tcPr>
            <w:tcW w:w="7280" w:type="dxa"/>
            <w:vAlign w:val="bottom"/>
          </w:tcPr>
          <w:p>
            <w:pPr>
              <w:spacing w:after="0"/>
              <w:rPr>
                <w:sz w:val="20"/>
                <w:szCs w:val="20"/>
                <w:color w:val="auto"/>
              </w:rPr>
            </w:pPr>
            <w:r>
              <w:rPr>
                <w:rFonts w:ascii="Arial" w:cs="Arial" w:eastAsia="Arial" w:hAnsi="Arial"/>
                <w:sz w:val="14"/>
                <w:szCs w:val="14"/>
                <w:color w:val="auto"/>
              </w:rPr>
              <w:t>Operating margin</w:t>
            </w:r>
          </w:p>
        </w:tc>
        <w:tc>
          <w:tcPr>
            <w:tcW w:w="240" w:type="dxa"/>
            <w:vAlign w:val="bottom"/>
          </w:tcPr>
          <w:p>
            <w:pPr>
              <w:spacing w:after="0"/>
              <w:rPr>
                <w:sz w:val="16"/>
                <w:szCs w:val="16"/>
                <w:color w:val="auto"/>
              </w:rPr>
            </w:pPr>
          </w:p>
        </w:tc>
        <w:tc>
          <w:tcPr>
            <w:tcW w:w="1020" w:type="dxa"/>
            <w:vAlign w:val="bottom"/>
          </w:tcPr>
          <w:p>
            <w:pPr>
              <w:jc w:val="right"/>
              <w:spacing w:after="0"/>
              <w:rPr>
                <w:sz w:val="20"/>
                <w:szCs w:val="20"/>
                <w:color w:val="auto"/>
              </w:rPr>
            </w:pPr>
            <w:r>
              <w:rPr>
                <w:rFonts w:ascii="Arial" w:cs="Arial" w:eastAsia="Arial" w:hAnsi="Arial"/>
                <w:sz w:val="14"/>
                <w:szCs w:val="14"/>
                <w:color w:val="auto"/>
              </w:rPr>
              <w:t>17 %</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spacing w:after="0"/>
              <w:rPr>
                <w:sz w:val="20"/>
                <w:szCs w:val="20"/>
                <w:color w:val="auto"/>
              </w:rPr>
            </w:pPr>
            <w:r>
              <w:rPr>
                <w:rFonts w:ascii="Arial" w:cs="Arial" w:eastAsia="Arial" w:hAnsi="Arial"/>
                <w:sz w:val="14"/>
                <w:szCs w:val="14"/>
                <w:color w:val="auto"/>
              </w:rPr>
              <w:t>18 %</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Stock-based compensation expense</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13 %</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13 %</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Amortization of developed technologies</w:t>
            </w:r>
          </w:p>
        </w:tc>
        <w:tc>
          <w:tcPr>
            <w:tcW w:w="240" w:type="dxa"/>
            <w:vAlign w:val="bottom"/>
          </w:tcPr>
          <w:p>
            <w:pPr>
              <w:spacing w:after="0"/>
              <w:rPr>
                <w:sz w:val="16"/>
                <w:szCs w:val="16"/>
                <w:color w:val="auto"/>
              </w:rPr>
            </w:pPr>
          </w:p>
        </w:tc>
        <w:tc>
          <w:tcPr>
            <w:tcW w:w="1020" w:type="dxa"/>
            <w:vAlign w:val="bottom"/>
          </w:tcPr>
          <w:p>
            <w:pPr>
              <w:jc w:val="right"/>
              <w:spacing w:after="0"/>
              <w:rPr>
                <w:sz w:val="20"/>
                <w:szCs w:val="20"/>
                <w:color w:val="auto"/>
              </w:rPr>
            </w:pPr>
            <w:r>
              <w:rPr>
                <w:rFonts w:ascii="Arial" w:cs="Arial" w:eastAsia="Arial" w:hAnsi="Arial"/>
                <w:sz w:val="14"/>
                <w:szCs w:val="14"/>
                <w:color w:val="auto"/>
              </w:rPr>
              <w:t>1 %</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spacing w:after="0"/>
              <w:rPr>
                <w:sz w:val="20"/>
                <w:szCs w:val="20"/>
                <w:color w:val="auto"/>
              </w:rPr>
            </w:pPr>
            <w:r>
              <w:rPr>
                <w:rFonts w:ascii="Arial" w:cs="Arial" w:eastAsia="Arial" w:hAnsi="Arial"/>
                <w:sz w:val="14"/>
                <w:szCs w:val="14"/>
                <w:color w:val="auto"/>
              </w:rPr>
              <w:t>1 %</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Amortization of purchased intangibles</w:t>
            </w:r>
          </w:p>
        </w:tc>
        <w:tc>
          <w:tcPr>
            <w:tcW w:w="24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1 %</w:t>
            </w:r>
          </w:p>
        </w:tc>
        <w:tc>
          <w:tcPr>
            <w:tcW w:w="100" w:type="dxa"/>
            <w:vAlign w:val="bottom"/>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spacing w:after="0"/>
              <w:rPr>
                <w:sz w:val="16"/>
                <w:szCs w:val="16"/>
                <w:color w:val="auto"/>
              </w:rPr>
            </w:pPr>
          </w:p>
        </w:tc>
        <w:tc>
          <w:tcPr>
            <w:tcW w:w="8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1 %</w:t>
            </w:r>
          </w:p>
        </w:tc>
      </w:tr>
      <w:tr>
        <w:trPr>
          <w:trHeight w:val="177"/>
        </w:trPr>
        <w:tc>
          <w:tcPr>
            <w:tcW w:w="7280" w:type="dxa"/>
            <w:vAlign w:val="bottom"/>
          </w:tcPr>
          <w:p>
            <w:pPr>
              <w:spacing w:after="0"/>
              <w:rPr>
                <w:sz w:val="20"/>
                <w:szCs w:val="20"/>
                <w:color w:val="auto"/>
              </w:rPr>
            </w:pPr>
            <w:r>
              <w:rPr>
                <w:rFonts w:ascii="Arial" w:cs="Arial" w:eastAsia="Arial" w:hAnsi="Arial"/>
                <w:sz w:val="14"/>
                <w:szCs w:val="14"/>
                <w:color w:val="auto"/>
              </w:rPr>
              <w:t>Non-GAAP operating margin (1)</w:t>
            </w:r>
          </w:p>
        </w:tc>
        <w:tc>
          <w:tcPr>
            <w:tcW w:w="24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32 %</w:t>
            </w:r>
          </w:p>
        </w:tc>
        <w:tc>
          <w:tcPr>
            <w:tcW w:w="10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860" w:type="dxa"/>
            <w:vAlign w:val="bottom"/>
            <w:tcBorders>
              <w:bottom w:val="single" w:sz="8" w:color="auto"/>
            </w:tcBorders>
          </w:tcPr>
          <w:p>
            <w:pPr>
              <w:jc w:val="right"/>
              <w:spacing w:after="0"/>
              <w:rPr>
                <w:sz w:val="20"/>
                <w:szCs w:val="20"/>
                <w:color w:val="auto"/>
              </w:rPr>
            </w:pPr>
            <w:r>
              <w:rPr>
                <w:rFonts w:ascii="Arial" w:cs="Arial" w:eastAsia="Arial" w:hAnsi="Arial"/>
                <w:sz w:val="14"/>
                <w:szCs w:val="14"/>
                <w:color w:val="auto"/>
              </w:rPr>
              <w:t>34 %</w:t>
            </w:r>
          </w:p>
        </w:tc>
      </w:tr>
      <w:tr>
        <w:trPr>
          <w:trHeight w:val="20"/>
        </w:trPr>
        <w:tc>
          <w:tcPr>
            <w:tcW w:w="7280" w:type="dxa"/>
            <w:vAlign w:val="bottom"/>
            <w:tcBorders>
              <w:bottom w:val="single" w:sz="8" w:color="CCEEFF"/>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CCEEFF"/>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860" w:type="dxa"/>
            <w:vAlign w:val="bottom"/>
            <w:tcBorders>
              <w:bottom w:val="single" w:sz="8" w:color="auto"/>
            </w:tcBorders>
          </w:tcPr>
          <w:p>
            <w:pPr>
              <w:spacing w:after="0" w:line="20" w:lineRule="exact"/>
              <w:rPr>
                <w:sz w:val="1"/>
                <w:szCs w:val="1"/>
                <w:color w:val="auto"/>
              </w:rPr>
            </w:pPr>
          </w:p>
        </w:tc>
      </w:tr>
      <w:tr>
        <w:trPr>
          <w:trHeight w:val="177"/>
        </w:trPr>
        <w:tc>
          <w:tcPr>
            <w:tcW w:w="7280" w:type="dxa"/>
            <w:vAlign w:val="bottom"/>
            <w:shd w:val="clear" w:color="auto" w:fill="CCEEFF"/>
          </w:tcPr>
          <w:p>
            <w:pPr>
              <w:spacing w:after="0"/>
              <w:rPr>
                <w:sz w:val="15"/>
                <w:szCs w:val="15"/>
                <w:color w:val="auto"/>
              </w:rPr>
            </w:pPr>
          </w:p>
        </w:tc>
        <w:tc>
          <w:tcPr>
            <w:tcW w:w="240" w:type="dxa"/>
            <w:vAlign w:val="bottom"/>
            <w:shd w:val="clear" w:color="auto" w:fill="CCEEFF"/>
          </w:tcPr>
          <w:p>
            <w:pPr>
              <w:spacing w:after="0"/>
              <w:rPr>
                <w:sz w:val="15"/>
                <w:szCs w:val="15"/>
                <w:color w:val="auto"/>
              </w:rPr>
            </w:pPr>
          </w:p>
        </w:tc>
        <w:tc>
          <w:tcPr>
            <w:tcW w:w="102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400" w:type="dxa"/>
            <w:vAlign w:val="bottom"/>
            <w:shd w:val="clear" w:color="auto" w:fill="CCEEFF"/>
          </w:tcPr>
          <w:p>
            <w:pPr>
              <w:spacing w:after="0"/>
              <w:rPr>
                <w:sz w:val="15"/>
                <w:szCs w:val="15"/>
                <w:color w:val="auto"/>
              </w:rPr>
            </w:pPr>
          </w:p>
        </w:tc>
        <w:tc>
          <w:tcPr>
            <w:tcW w:w="860" w:type="dxa"/>
            <w:vAlign w:val="bottom"/>
            <w:shd w:val="clear" w:color="auto" w:fill="CCEEFF"/>
          </w:tcPr>
          <w:p>
            <w:pPr>
              <w:spacing w:after="0"/>
              <w:rPr>
                <w:sz w:val="15"/>
                <w:szCs w:val="15"/>
                <w:color w:val="auto"/>
              </w:rPr>
            </w:pPr>
          </w:p>
        </w:tc>
      </w:tr>
      <w:tr>
        <w:trPr>
          <w:trHeight w:val="185"/>
        </w:trPr>
        <w:tc>
          <w:tcPr>
            <w:tcW w:w="7280" w:type="dxa"/>
            <w:vAlign w:val="bottom"/>
          </w:tcPr>
          <w:p>
            <w:pPr>
              <w:spacing w:after="0"/>
              <w:rPr>
                <w:sz w:val="20"/>
                <w:szCs w:val="20"/>
                <w:color w:val="auto"/>
              </w:rPr>
            </w:pPr>
            <w:r>
              <w:rPr>
                <w:rFonts w:ascii="Arial" w:cs="Arial" w:eastAsia="Arial" w:hAnsi="Arial"/>
                <w:sz w:val="14"/>
                <w:szCs w:val="14"/>
                <w:color w:val="auto"/>
              </w:rPr>
              <w:t>Net income</w:t>
            </w:r>
          </w:p>
        </w:tc>
        <w:tc>
          <w:tcPr>
            <w:tcW w:w="240" w:type="dxa"/>
            <w:vAlign w:val="bottom"/>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161</w:t>
            </w:r>
          </w:p>
        </w:tc>
        <w:tc>
          <w:tcPr>
            <w:tcW w:w="500" w:type="dxa"/>
            <w:vAlign w:val="bottom"/>
            <w:gridSpan w:val="2"/>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146</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Stock-based compensation expense</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165</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155</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Amortization of developed technologies</w:t>
            </w:r>
          </w:p>
        </w:tc>
        <w:tc>
          <w:tcPr>
            <w:tcW w:w="240" w:type="dxa"/>
            <w:vAlign w:val="bottom"/>
          </w:tcPr>
          <w:p>
            <w:pPr>
              <w:spacing w:after="0"/>
              <w:rPr>
                <w:sz w:val="16"/>
                <w:szCs w:val="16"/>
                <w:color w:val="auto"/>
              </w:rPr>
            </w:pP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9</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13</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Amortization of purchased intangibles</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10</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11</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Acquisition-related costs</w:t>
            </w:r>
          </w:p>
        </w:tc>
        <w:tc>
          <w:tcPr>
            <w:tcW w:w="240" w:type="dxa"/>
            <w:vAlign w:val="bottom"/>
          </w:tcPr>
          <w:p>
            <w:pPr>
              <w:spacing w:after="0"/>
              <w:rPr>
                <w:sz w:val="16"/>
                <w:szCs w:val="16"/>
                <w:color w:val="auto"/>
              </w:rPr>
            </w:pP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3</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3</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Lease-related asset impairments and other charges</w:t>
            </w:r>
          </w:p>
        </w:tc>
        <w:tc>
          <w:tcPr>
            <w:tcW w:w="240" w:type="dxa"/>
            <w:vAlign w:val="bottom"/>
            <w:shd w:val="clear" w:color="auto" w:fill="CCEEFF"/>
          </w:tcPr>
          <w:p>
            <w:pPr>
              <w:spacing w:after="0"/>
              <w:rPr>
                <w:sz w:val="16"/>
                <w:szCs w:val="16"/>
                <w:color w:val="auto"/>
              </w:rPr>
            </w:pPr>
          </w:p>
        </w:tc>
        <w:tc>
          <w:tcPr>
            <w:tcW w:w="102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w:t>
            </w:r>
          </w:p>
        </w:tc>
        <w:tc>
          <w:tcPr>
            <w:tcW w:w="100" w:type="dxa"/>
            <w:vAlign w:val="bottom"/>
            <w:shd w:val="clear" w:color="auto" w:fill="CCEEFF"/>
          </w:tcPr>
          <w:p>
            <w:pPr>
              <w:spacing w:after="0"/>
              <w:rPr>
                <w:sz w:val="16"/>
                <w:szCs w:val="16"/>
                <w:color w:val="auto"/>
              </w:rPr>
            </w:pPr>
          </w:p>
        </w:tc>
        <w:tc>
          <w:tcPr>
            <w:tcW w:w="400" w:type="dxa"/>
            <w:vAlign w:val="bottom"/>
            <w:shd w:val="clear" w:color="auto" w:fill="CCEEFF"/>
          </w:tcPr>
          <w:p>
            <w:pPr>
              <w:spacing w:after="0"/>
              <w:rPr>
                <w:sz w:val="16"/>
                <w:szCs w:val="16"/>
                <w:color w:val="auto"/>
              </w:rPr>
            </w:pPr>
          </w:p>
        </w:tc>
        <w:tc>
          <w:tcPr>
            <w:tcW w:w="860" w:type="dxa"/>
            <w:vAlign w:val="bottom"/>
            <w:shd w:val="clear" w:color="auto" w:fill="CCEEFF"/>
          </w:tcPr>
          <w:p>
            <w:pPr>
              <w:jc w:val="right"/>
              <w:ind w:right="110"/>
              <w:spacing w:after="0"/>
              <w:rPr>
                <w:sz w:val="20"/>
                <w:szCs w:val="20"/>
                <w:color w:val="auto"/>
              </w:rPr>
            </w:pPr>
            <w:r>
              <w:rPr>
                <w:rFonts w:ascii="Arial" w:cs="Arial" w:eastAsia="Arial" w:hAnsi="Arial"/>
                <w:sz w:val="14"/>
                <w:szCs w:val="14"/>
                <w:color w:val="auto"/>
              </w:rPr>
              <w:t>1</w:t>
            </w:r>
          </w:p>
        </w:tc>
      </w:tr>
      <w:tr>
        <w:trPr>
          <w:trHeight w:val="185"/>
        </w:trPr>
        <w:tc>
          <w:tcPr>
            <w:tcW w:w="7280" w:type="dxa"/>
            <w:vAlign w:val="bottom"/>
          </w:tcPr>
          <w:p>
            <w:pPr>
              <w:ind w:left="280"/>
              <w:spacing w:after="0"/>
              <w:rPr>
                <w:sz w:val="20"/>
                <w:szCs w:val="20"/>
                <w:color w:val="auto"/>
              </w:rPr>
            </w:pPr>
            <w:r>
              <w:rPr>
                <w:rFonts w:ascii="Arial" w:cs="Arial" w:eastAsia="Arial" w:hAnsi="Arial"/>
                <w:sz w:val="14"/>
                <w:szCs w:val="14"/>
                <w:color w:val="auto"/>
              </w:rPr>
              <w:t>Discrete tax provision items</w:t>
            </w:r>
          </w:p>
        </w:tc>
        <w:tc>
          <w:tcPr>
            <w:tcW w:w="240" w:type="dxa"/>
            <w:vAlign w:val="bottom"/>
          </w:tcPr>
          <w:p>
            <w:pPr>
              <w:spacing w:after="0"/>
              <w:rPr>
                <w:sz w:val="16"/>
                <w:szCs w:val="16"/>
                <w:color w:val="auto"/>
              </w:rPr>
            </w:pPr>
          </w:p>
        </w:tc>
        <w:tc>
          <w:tcPr>
            <w:tcW w:w="1020" w:type="dxa"/>
            <w:vAlign w:val="bottom"/>
          </w:tcPr>
          <w:p>
            <w:pPr>
              <w:ind w:left="700"/>
              <w:spacing w:after="0"/>
              <w:rPr>
                <w:sz w:val="20"/>
                <w:szCs w:val="20"/>
                <w:color w:val="auto"/>
              </w:rPr>
            </w:pPr>
            <w:r>
              <w:rPr>
                <w:rFonts w:ascii="Arial" w:cs="Arial" w:eastAsia="Arial" w:hAnsi="Arial"/>
                <w:sz w:val="14"/>
                <w:szCs w:val="14"/>
                <w:color w:val="auto"/>
              </w:rPr>
              <w:t>(6)</w:t>
            </w: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860" w:type="dxa"/>
            <w:vAlign w:val="bottom"/>
          </w:tcPr>
          <w:p>
            <w:pPr>
              <w:jc w:val="right"/>
              <w:ind w:right="70"/>
              <w:spacing w:after="0"/>
              <w:rPr>
                <w:sz w:val="20"/>
                <w:szCs w:val="20"/>
                <w:color w:val="auto"/>
              </w:rPr>
            </w:pPr>
            <w:r>
              <w:rPr>
                <w:rFonts w:ascii="Arial" w:cs="Arial" w:eastAsia="Arial" w:hAnsi="Arial"/>
                <w:sz w:val="14"/>
                <w:szCs w:val="14"/>
                <w:color w:val="auto"/>
              </w:rPr>
              <w:t>(8)</w:t>
            </w:r>
          </w:p>
        </w:tc>
      </w:tr>
      <w:tr>
        <w:trPr>
          <w:trHeight w:val="190"/>
        </w:trPr>
        <w:tc>
          <w:tcPr>
            <w:tcW w:w="72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Income tax effect of non-GAAP adjustments</w:t>
            </w:r>
          </w:p>
        </w:tc>
        <w:tc>
          <w:tcPr>
            <w:tcW w:w="240" w:type="dxa"/>
            <w:vAlign w:val="bottom"/>
            <w:tcBorders>
              <w:bottom w:val="single" w:sz="8" w:color="auto"/>
            </w:tcBorders>
            <w:shd w:val="clear" w:color="auto" w:fill="CCEEFF"/>
          </w:tcPr>
          <w:p>
            <w:pPr>
              <w:spacing w:after="0"/>
              <w:rPr>
                <w:sz w:val="16"/>
                <w:szCs w:val="16"/>
                <w:color w:val="auto"/>
              </w:rPr>
            </w:pPr>
          </w:p>
        </w:tc>
        <w:tc>
          <w:tcPr>
            <w:tcW w:w="1020" w:type="dxa"/>
            <w:vAlign w:val="bottom"/>
            <w:tcBorders>
              <w:bottom w:val="single" w:sz="8" w:color="auto"/>
            </w:tcBorders>
            <w:shd w:val="clear" w:color="auto" w:fill="CCEEFF"/>
          </w:tcPr>
          <w:p>
            <w:pPr>
              <w:ind w:left="700"/>
              <w:spacing w:after="0"/>
              <w:rPr>
                <w:sz w:val="20"/>
                <w:szCs w:val="20"/>
                <w:color w:val="auto"/>
              </w:rPr>
            </w:pPr>
            <w:r>
              <w:rPr>
                <w:rFonts w:ascii="Arial" w:cs="Arial" w:eastAsia="Arial" w:hAnsi="Arial"/>
                <w:sz w:val="14"/>
                <w:szCs w:val="14"/>
                <w:color w:val="auto"/>
              </w:rPr>
              <w:t>(8)</w:t>
            </w:r>
          </w:p>
        </w:tc>
        <w:tc>
          <w:tcPr>
            <w:tcW w:w="100" w:type="dxa"/>
            <w:vAlign w:val="bottom"/>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spacing w:after="0"/>
              <w:rPr>
                <w:sz w:val="16"/>
                <w:szCs w:val="16"/>
                <w:color w:val="auto"/>
              </w:rPr>
            </w:pPr>
          </w:p>
        </w:tc>
        <w:tc>
          <w:tcPr>
            <w:tcW w:w="860" w:type="dxa"/>
            <w:vAlign w:val="bottom"/>
            <w:tcBorders>
              <w:bottom w:val="single" w:sz="8" w:color="auto"/>
            </w:tcBorders>
            <w:shd w:val="clear" w:color="auto" w:fill="CCEEFF"/>
          </w:tcPr>
          <w:p>
            <w:pPr>
              <w:jc w:val="right"/>
              <w:ind w:right="70"/>
              <w:spacing w:after="0"/>
              <w:rPr>
                <w:sz w:val="20"/>
                <w:szCs w:val="20"/>
                <w:color w:val="auto"/>
              </w:rPr>
            </w:pPr>
            <w:r>
              <w:rPr>
                <w:rFonts w:ascii="Arial" w:cs="Arial" w:eastAsia="Arial" w:hAnsi="Arial"/>
                <w:sz w:val="14"/>
                <w:szCs w:val="14"/>
                <w:color w:val="auto"/>
              </w:rPr>
              <w:t>(7)</w:t>
            </w:r>
          </w:p>
        </w:tc>
      </w:tr>
      <w:tr>
        <w:trPr>
          <w:trHeight w:val="177"/>
        </w:trPr>
        <w:tc>
          <w:tcPr>
            <w:tcW w:w="7280" w:type="dxa"/>
            <w:vAlign w:val="bottom"/>
          </w:tcPr>
          <w:p>
            <w:pPr>
              <w:spacing w:after="0"/>
              <w:rPr>
                <w:sz w:val="20"/>
                <w:szCs w:val="20"/>
                <w:color w:val="auto"/>
              </w:rPr>
            </w:pPr>
            <w:r>
              <w:rPr>
                <w:rFonts w:ascii="Arial" w:cs="Arial" w:eastAsia="Arial" w:hAnsi="Arial"/>
                <w:sz w:val="14"/>
                <w:szCs w:val="14"/>
                <w:color w:val="auto"/>
              </w:rPr>
              <w:t>Non-GAAP net income</w:t>
            </w:r>
          </w:p>
        </w:tc>
        <w:tc>
          <w:tcPr>
            <w:tcW w:w="240" w:type="dxa"/>
            <w:vAlign w:val="bottom"/>
          </w:tcPr>
          <w:p>
            <w:pPr>
              <w:jc w:val="right"/>
              <w:ind w:right="90"/>
              <w:spacing w:after="0"/>
              <w:rPr>
                <w:sz w:val="20"/>
                <w:szCs w:val="20"/>
                <w:color w:val="auto"/>
              </w:rPr>
            </w:pPr>
            <w:r>
              <w:rPr>
                <w:rFonts w:ascii="Arial" w:cs="Arial" w:eastAsia="Arial" w:hAnsi="Arial"/>
                <w:sz w:val="14"/>
                <w:szCs w:val="14"/>
                <w:color w:val="auto"/>
                <w:w w:val="76"/>
              </w:rPr>
              <w:t>$</w:t>
            </w:r>
          </w:p>
        </w:tc>
        <w:tc>
          <w:tcPr>
            <w:tcW w:w="1020" w:type="dxa"/>
            <w:vAlign w:val="bottom"/>
          </w:tcPr>
          <w:p>
            <w:pPr>
              <w:jc w:val="right"/>
              <w:ind w:right="110"/>
              <w:spacing w:after="0"/>
              <w:rPr>
                <w:sz w:val="20"/>
                <w:szCs w:val="20"/>
                <w:color w:val="auto"/>
              </w:rPr>
            </w:pPr>
            <w:r>
              <w:rPr>
                <w:rFonts w:ascii="Arial" w:cs="Arial" w:eastAsia="Arial" w:hAnsi="Arial"/>
                <w:sz w:val="14"/>
                <w:szCs w:val="14"/>
                <w:color w:val="auto"/>
              </w:rPr>
              <w:t>334</w:t>
            </w:r>
          </w:p>
        </w:tc>
        <w:tc>
          <w:tcPr>
            <w:tcW w:w="500" w:type="dxa"/>
            <w:vAlign w:val="bottom"/>
            <w:gridSpan w:val="2"/>
          </w:tcPr>
          <w:p>
            <w:pPr>
              <w:jc w:val="right"/>
              <w:ind w:right="320"/>
              <w:spacing w:after="0"/>
              <w:rPr>
                <w:sz w:val="20"/>
                <w:szCs w:val="20"/>
                <w:color w:val="auto"/>
              </w:rPr>
            </w:pPr>
            <w:r>
              <w:rPr>
                <w:rFonts w:ascii="Arial" w:cs="Arial" w:eastAsia="Arial" w:hAnsi="Arial"/>
                <w:sz w:val="14"/>
                <w:szCs w:val="14"/>
                <w:color w:val="auto"/>
              </w:rPr>
              <w:t>$</w:t>
            </w:r>
          </w:p>
        </w:tc>
        <w:tc>
          <w:tcPr>
            <w:tcW w:w="860" w:type="dxa"/>
            <w:vAlign w:val="bottom"/>
          </w:tcPr>
          <w:p>
            <w:pPr>
              <w:jc w:val="right"/>
              <w:ind w:right="110"/>
              <w:spacing w:after="0"/>
              <w:rPr>
                <w:sz w:val="20"/>
                <w:szCs w:val="20"/>
                <w:color w:val="auto"/>
              </w:rPr>
            </w:pPr>
            <w:r>
              <w:rPr>
                <w:rFonts w:ascii="Arial" w:cs="Arial" w:eastAsia="Arial" w:hAnsi="Arial"/>
                <w:sz w:val="14"/>
                <w:szCs w:val="14"/>
                <w:color w:val="auto"/>
              </w:rPr>
              <w:t>314</w:t>
            </w:r>
          </w:p>
        </w:tc>
      </w:tr>
      <w:tr>
        <w:trPr>
          <w:trHeight w:val="20"/>
        </w:trPr>
        <w:tc>
          <w:tcPr>
            <w:tcW w:w="72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355" w:lineRule="exact"/>
        <w:rPr>
          <w:sz w:val="20"/>
          <w:szCs w:val="20"/>
          <w:color w:val="auto"/>
        </w:rPr>
      </w:pPr>
    </w:p>
    <w:p>
      <w:pPr>
        <w:jc w:val="center"/>
        <w:ind w:right="-339"/>
        <w:spacing w:after="0"/>
        <w:rPr>
          <w:sz w:val="20"/>
          <w:szCs w:val="20"/>
          <w:color w:val="auto"/>
        </w:rPr>
      </w:pPr>
      <w:r>
        <w:rPr>
          <w:rFonts w:ascii="Arial" w:cs="Arial" w:eastAsia="Arial" w:hAnsi="Arial"/>
          <w:sz w:val="15"/>
          <w:szCs w:val="15"/>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240"/>
          </w:cols>
          <w:pgMar w:left="660" w:top="1230" w:right="1000" w:bottom="1440" w:gutter="0" w:footer="0" w:header="0"/>
        </w:sectPr>
      </w:pPr>
    </w:p>
    <w:bookmarkStart w:id="42" w:name="page43"/>
    <w:bookmarkEnd w:id="42"/>
    <w:p>
      <w:pPr>
        <w:spacing w:after="0" w:line="40" w:lineRule="exact"/>
        <w:rPr>
          <w:sz w:val="20"/>
          <w:szCs w:val="20"/>
          <w:color w:val="auto"/>
        </w:rPr>
      </w:pPr>
    </w:p>
    <w:tbl>
      <w:tblPr>
        <w:tblLayout w:type="fixed"/>
        <w:tblInd w:w="340" w:type="dxa"/>
        <w:tblCellMar>
          <w:top w:w="0" w:type="dxa"/>
          <w:left w:w="0" w:type="dxa"/>
          <w:bottom w:w="0" w:type="dxa"/>
          <w:right w:w="0" w:type="dxa"/>
        </w:tblCellMar>
      </w:tblPr>
      <w:tr>
        <w:trPr>
          <w:trHeight w:val="179"/>
        </w:trPr>
        <w:tc>
          <w:tcPr>
            <w:tcW w:w="7480" w:type="dxa"/>
            <w:vAlign w:val="bottom"/>
          </w:tcPr>
          <w:p>
            <w:pPr>
              <w:spacing w:after="0"/>
              <w:rPr>
                <w:sz w:val="15"/>
                <w:szCs w:val="15"/>
                <w:color w:val="auto"/>
              </w:rPr>
            </w:pPr>
          </w:p>
        </w:tc>
        <w:tc>
          <w:tcPr>
            <w:tcW w:w="2420" w:type="dxa"/>
            <w:vAlign w:val="bottom"/>
            <w:tcBorders>
              <w:bottom w:val="single" w:sz="8" w:color="auto"/>
            </w:tcBorders>
            <w:gridSpan w:val="5"/>
          </w:tcPr>
          <w:p>
            <w:pPr>
              <w:jc w:val="right"/>
              <w:ind w:right="230"/>
              <w:spacing w:after="0"/>
              <w:rPr>
                <w:sz w:val="20"/>
                <w:szCs w:val="20"/>
                <w:color w:val="auto"/>
              </w:rPr>
            </w:pPr>
            <w:r>
              <w:rPr>
                <w:rFonts w:ascii="Arial" w:cs="Arial" w:eastAsia="Arial" w:hAnsi="Arial"/>
                <w:sz w:val="13"/>
                <w:szCs w:val="13"/>
                <w:b w:val="1"/>
                <w:bCs w:val="1"/>
                <w:color w:val="auto"/>
              </w:rPr>
              <w:t>Three Months Ended April 30,</w:t>
            </w:r>
          </w:p>
        </w:tc>
      </w:tr>
      <w:tr>
        <w:trPr>
          <w:trHeight w:val="167"/>
        </w:trPr>
        <w:tc>
          <w:tcPr>
            <w:tcW w:w="7480" w:type="dxa"/>
            <w:vAlign w:val="bottom"/>
          </w:tcPr>
          <w:p>
            <w:pPr>
              <w:spacing w:after="0"/>
              <w:rPr>
                <w:sz w:val="14"/>
                <w:szCs w:val="14"/>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2023</w:t>
            </w:r>
          </w:p>
        </w:tc>
        <w:tc>
          <w:tcPr>
            <w:tcW w:w="40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38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jc w:val="right"/>
              <w:ind w:right="370"/>
              <w:spacing w:after="0"/>
              <w:rPr>
                <w:sz w:val="20"/>
                <w:szCs w:val="20"/>
                <w:color w:val="auto"/>
              </w:rPr>
            </w:pPr>
            <w:r>
              <w:rPr>
                <w:rFonts w:ascii="Arial" w:cs="Arial" w:eastAsia="Arial" w:hAnsi="Arial"/>
                <w:sz w:val="13"/>
                <w:szCs w:val="13"/>
                <w:b w:val="1"/>
                <w:bCs w:val="1"/>
                <w:color w:val="auto"/>
              </w:rPr>
              <w:t>2022</w:t>
            </w:r>
          </w:p>
        </w:tc>
      </w:tr>
      <w:tr>
        <w:trPr>
          <w:trHeight w:val="167"/>
        </w:trPr>
        <w:tc>
          <w:tcPr>
            <w:tcW w:w="748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880" w:type="dxa"/>
            <w:vAlign w:val="bottom"/>
            <w:gridSpan w:val="3"/>
          </w:tcPr>
          <w:p>
            <w:pPr>
              <w:jc w:val="right"/>
              <w:ind w:right="60"/>
              <w:spacing w:after="0"/>
              <w:rPr>
                <w:sz w:val="20"/>
                <w:szCs w:val="20"/>
                <w:color w:val="auto"/>
              </w:rPr>
            </w:pPr>
            <w:r>
              <w:rPr>
                <w:rFonts w:ascii="Arial" w:cs="Arial" w:eastAsia="Arial" w:hAnsi="Arial"/>
                <w:sz w:val="13"/>
                <w:szCs w:val="13"/>
                <w:b w:val="1"/>
                <w:bCs w:val="1"/>
                <w:color w:val="auto"/>
              </w:rPr>
              <w:t>(Unaudited)</w:t>
            </w:r>
          </w:p>
        </w:tc>
        <w:tc>
          <w:tcPr>
            <w:tcW w:w="780" w:type="dxa"/>
            <w:vAlign w:val="bottom"/>
          </w:tcPr>
          <w:p>
            <w:pPr>
              <w:spacing w:after="0"/>
              <w:rPr>
                <w:sz w:val="14"/>
                <w:szCs w:val="14"/>
                <w:color w:val="auto"/>
              </w:rPr>
            </w:pPr>
          </w:p>
        </w:tc>
      </w:tr>
      <w:tr>
        <w:trPr>
          <w:trHeight w:val="187"/>
        </w:trPr>
        <w:tc>
          <w:tcPr>
            <w:tcW w:w="7480" w:type="dxa"/>
            <w:vAlign w:val="bottom"/>
            <w:shd w:val="clear" w:color="auto" w:fill="CCEEFF"/>
          </w:tcPr>
          <w:p>
            <w:pPr>
              <w:spacing w:after="0"/>
              <w:rPr>
                <w:sz w:val="20"/>
                <w:szCs w:val="20"/>
                <w:color w:val="auto"/>
              </w:rPr>
            </w:pPr>
            <w:r>
              <w:rPr>
                <w:rFonts w:ascii="Arial" w:cs="Arial" w:eastAsia="Arial" w:hAnsi="Arial"/>
                <w:sz w:val="14"/>
                <w:szCs w:val="14"/>
                <w:color w:val="auto"/>
              </w:rPr>
              <w:t>Diluted net income per share</w:t>
            </w:r>
          </w:p>
        </w:tc>
        <w:tc>
          <w:tcPr>
            <w:tcW w:w="760" w:type="dxa"/>
            <w:vAlign w:val="bottom"/>
            <w:shd w:val="clear" w:color="auto" w:fill="CCEEFF"/>
          </w:tcPr>
          <w:p>
            <w:pPr>
              <w:jc w:val="right"/>
              <w:ind w:right="593"/>
              <w:spacing w:after="0"/>
              <w:rPr>
                <w:sz w:val="20"/>
                <w:szCs w:val="20"/>
                <w:color w:val="auto"/>
              </w:rPr>
            </w:pPr>
            <w:r>
              <w:rPr>
                <w:rFonts w:ascii="Arial" w:cs="Arial" w:eastAsia="Arial" w:hAnsi="Arial"/>
                <w:sz w:val="14"/>
                <w:szCs w:val="14"/>
                <w:color w:val="auto"/>
              </w:rPr>
              <w:t>$</w:t>
            </w:r>
          </w:p>
        </w:tc>
        <w:tc>
          <w:tcPr>
            <w:tcW w:w="4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0.75</w:t>
            </w:r>
          </w:p>
        </w:tc>
        <w:tc>
          <w:tcPr>
            <w:tcW w:w="480" w:type="dxa"/>
            <w:vAlign w:val="bottom"/>
            <w:gridSpan w:val="2"/>
            <w:shd w:val="clear" w:color="auto" w:fill="CCEEFF"/>
          </w:tcPr>
          <w:p>
            <w:pPr>
              <w:jc w:val="right"/>
              <w:ind w:right="280"/>
              <w:spacing w:after="0"/>
              <w:rPr>
                <w:sz w:val="20"/>
                <w:szCs w:val="20"/>
                <w:color w:val="auto"/>
              </w:rPr>
            </w:pPr>
            <w:r>
              <w:rPr>
                <w:rFonts w:ascii="Arial" w:cs="Arial" w:eastAsia="Arial" w:hAnsi="Arial"/>
                <w:sz w:val="14"/>
                <w:szCs w:val="14"/>
                <w:color w:val="auto"/>
              </w:rPr>
              <w:t>$</w:t>
            </w:r>
          </w:p>
        </w:tc>
        <w:tc>
          <w:tcPr>
            <w:tcW w:w="7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0.67</w:t>
            </w:r>
          </w:p>
        </w:tc>
      </w:tr>
      <w:tr>
        <w:trPr>
          <w:trHeight w:val="185"/>
        </w:trPr>
        <w:tc>
          <w:tcPr>
            <w:tcW w:w="7480" w:type="dxa"/>
            <w:vAlign w:val="bottom"/>
          </w:tcPr>
          <w:p>
            <w:pPr>
              <w:ind w:left="280"/>
              <w:spacing w:after="0"/>
              <w:rPr>
                <w:sz w:val="20"/>
                <w:szCs w:val="20"/>
                <w:color w:val="auto"/>
              </w:rPr>
            </w:pPr>
            <w:r>
              <w:rPr>
                <w:rFonts w:ascii="Arial" w:cs="Arial" w:eastAsia="Arial" w:hAnsi="Arial"/>
                <w:sz w:val="14"/>
                <w:szCs w:val="14"/>
                <w:color w:val="auto"/>
              </w:rPr>
              <w:t>Stock-based compensation expense</w:t>
            </w:r>
          </w:p>
        </w:tc>
        <w:tc>
          <w:tcPr>
            <w:tcW w:w="760" w:type="dxa"/>
            <w:vAlign w:val="bottom"/>
          </w:tcPr>
          <w:p>
            <w:pPr>
              <w:spacing w:after="0"/>
              <w:rPr>
                <w:sz w:val="16"/>
                <w:szCs w:val="16"/>
                <w:color w:val="auto"/>
              </w:rPr>
            </w:pPr>
          </w:p>
        </w:tc>
        <w:tc>
          <w:tcPr>
            <w:tcW w:w="400" w:type="dxa"/>
            <w:vAlign w:val="bottom"/>
          </w:tcPr>
          <w:p>
            <w:pPr>
              <w:jc w:val="right"/>
              <w:spacing w:after="0"/>
              <w:rPr>
                <w:sz w:val="20"/>
                <w:szCs w:val="20"/>
                <w:color w:val="auto"/>
              </w:rPr>
            </w:pPr>
            <w:r>
              <w:rPr>
                <w:rFonts w:ascii="Arial" w:cs="Arial" w:eastAsia="Arial" w:hAnsi="Arial"/>
                <w:sz w:val="14"/>
                <w:szCs w:val="14"/>
                <w:color w:val="auto"/>
              </w:rPr>
              <w:t>0.76</w:t>
            </w: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780" w:type="dxa"/>
            <w:vAlign w:val="bottom"/>
          </w:tcPr>
          <w:p>
            <w:pPr>
              <w:jc w:val="right"/>
              <w:spacing w:after="0"/>
              <w:rPr>
                <w:sz w:val="20"/>
                <w:szCs w:val="20"/>
                <w:color w:val="auto"/>
              </w:rPr>
            </w:pPr>
            <w:r>
              <w:rPr>
                <w:rFonts w:ascii="Arial" w:cs="Arial" w:eastAsia="Arial" w:hAnsi="Arial"/>
                <w:sz w:val="14"/>
                <w:szCs w:val="14"/>
                <w:color w:val="auto"/>
              </w:rPr>
              <w:t>0.71</w:t>
            </w:r>
          </w:p>
        </w:tc>
      </w:tr>
      <w:tr>
        <w:trPr>
          <w:trHeight w:val="190"/>
        </w:trPr>
        <w:tc>
          <w:tcPr>
            <w:tcW w:w="74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Amortization of developed technologies</w:t>
            </w:r>
          </w:p>
        </w:tc>
        <w:tc>
          <w:tcPr>
            <w:tcW w:w="760" w:type="dxa"/>
            <w:vAlign w:val="bottom"/>
            <w:shd w:val="clear" w:color="auto" w:fill="CCEEFF"/>
          </w:tcPr>
          <w:p>
            <w:pPr>
              <w:spacing w:after="0"/>
              <w:rPr>
                <w:sz w:val="16"/>
                <w:szCs w:val="16"/>
                <w:color w:val="auto"/>
              </w:rPr>
            </w:pPr>
          </w:p>
        </w:tc>
        <w:tc>
          <w:tcPr>
            <w:tcW w:w="4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0.05</w:t>
            </w:r>
          </w:p>
        </w:tc>
        <w:tc>
          <w:tcPr>
            <w:tcW w:w="100" w:type="dxa"/>
            <w:vAlign w:val="bottom"/>
            <w:shd w:val="clear" w:color="auto" w:fill="CCEEFF"/>
          </w:tcPr>
          <w:p>
            <w:pPr>
              <w:spacing w:after="0"/>
              <w:rPr>
                <w:sz w:val="16"/>
                <w:szCs w:val="16"/>
                <w:color w:val="auto"/>
              </w:rPr>
            </w:pPr>
          </w:p>
        </w:tc>
        <w:tc>
          <w:tcPr>
            <w:tcW w:w="380" w:type="dxa"/>
            <w:vAlign w:val="bottom"/>
            <w:shd w:val="clear" w:color="auto" w:fill="CCEEFF"/>
          </w:tcPr>
          <w:p>
            <w:pPr>
              <w:spacing w:after="0"/>
              <w:rPr>
                <w:sz w:val="16"/>
                <w:szCs w:val="16"/>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0.06</w:t>
            </w:r>
          </w:p>
        </w:tc>
      </w:tr>
      <w:tr>
        <w:trPr>
          <w:trHeight w:val="185"/>
        </w:trPr>
        <w:tc>
          <w:tcPr>
            <w:tcW w:w="7480" w:type="dxa"/>
            <w:vAlign w:val="bottom"/>
          </w:tcPr>
          <w:p>
            <w:pPr>
              <w:ind w:left="280"/>
              <w:spacing w:after="0"/>
              <w:rPr>
                <w:sz w:val="20"/>
                <w:szCs w:val="20"/>
                <w:color w:val="auto"/>
              </w:rPr>
            </w:pPr>
            <w:r>
              <w:rPr>
                <w:rFonts w:ascii="Arial" w:cs="Arial" w:eastAsia="Arial" w:hAnsi="Arial"/>
                <w:sz w:val="14"/>
                <w:szCs w:val="14"/>
                <w:color w:val="auto"/>
              </w:rPr>
              <w:t>Amortization of purchased intangibles</w:t>
            </w:r>
          </w:p>
        </w:tc>
        <w:tc>
          <w:tcPr>
            <w:tcW w:w="760" w:type="dxa"/>
            <w:vAlign w:val="bottom"/>
          </w:tcPr>
          <w:p>
            <w:pPr>
              <w:spacing w:after="0"/>
              <w:rPr>
                <w:sz w:val="16"/>
                <w:szCs w:val="16"/>
                <w:color w:val="auto"/>
              </w:rPr>
            </w:pPr>
          </w:p>
        </w:tc>
        <w:tc>
          <w:tcPr>
            <w:tcW w:w="400" w:type="dxa"/>
            <w:vAlign w:val="bottom"/>
          </w:tcPr>
          <w:p>
            <w:pPr>
              <w:jc w:val="right"/>
              <w:spacing w:after="0"/>
              <w:rPr>
                <w:sz w:val="20"/>
                <w:szCs w:val="20"/>
                <w:color w:val="auto"/>
              </w:rPr>
            </w:pPr>
            <w:r>
              <w:rPr>
                <w:rFonts w:ascii="Arial" w:cs="Arial" w:eastAsia="Arial" w:hAnsi="Arial"/>
                <w:sz w:val="14"/>
                <w:szCs w:val="14"/>
                <w:color w:val="auto"/>
              </w:rPr>
              <w:t>0.05</w:t>
            </w: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780" w:type="dxa"/>
            <w:vAlign w:val="bottom"/>
          </w:tcPr>
          <w:p>
            <w:pPr>
              <w:jc w:val="right"/>
              <w:spacing w:after="0"/>
              <w:rPr>
                <w:sz w:val="20"/>
                <w:szCs w:val="20"/>
                <w:color w:val="auto"/>
              </w:rPr>
            </w:pPr>
            <w:r>
              <w:rPr>
                <w:rFonts w:ascii="Arial" w:cs="Arial" w:eastAsia="Arial" w:hAnsi="Arial"/>
                <w:sz w:val="14"/>
                <w:szCs w:val="14"/>
                <w:color w:val="auto"/>
              </w:rPr>
              <w:t>0.05</w:t>
            </w:r>
          </w:p>
        </w:tc>
      </w:tr>
      <w:tr>
        <w:trPr>
          <w:trHeight w:val="190"/>
        </w:trPr>
        <w:tc>
          <w:tcPr>
            <w:tcW w:w="74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Acquisition-related costs</w:t>
            </w:r>
          </w:p>
        </w:tc>
        <w:tc>
          <w:tcPr>
            <w:tcW w:w="760" w:type="dxa"/>
            <w:vAlign w:val="bottom"/>
            <w:shd w:val="clear" w:color="auto" w:fill="CCEEFF"/>
          </w:tcPr>
          <w:p>
            <w:pPr>
              <w:spacing w:after="0"/>
              <w:rPr>
                <w:sz w:val="16"/>
                <w:szCs w:val="16"/>
                <w:color w:val="auto"/>
              </w:rPr>
            </w:pPr>
          </w:p>
        </w:tc>
        <w:tc>
          <w:tcPr>
            <w:tcW w:w="4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0.01</w:t>
            </w:r>
          </w:p>
        </w:tc>
        <w:tc>
          <w:tcPr>
            <w:tcW w:w="100" w:type="dxa"/>
            <w:vAlign w:val="bottom"/>
            <w:shd w:val="clear" w:color="auto" w:fill="CCEEFF"/>
          </w:tcPr>
          <w:p>
            <w:pPr>
              <w:spacing w:after="0"/>
              <w:rPr>
                <w:sz w:val="16"/>
                <w:szCs w:val="16"/>
                <w:color w:val="auto"/>
              </w:rPr>
            </w:pPr>
          </w:p>
        </w:tc>
        <w:tc>
          <w:tcPr>
            <w:tcW w:w="380" w:type="dxa"/>
            <w:vAlign w:val="bottom"/>
            <w:shd w:val="clear" w:color="auto" w:fill="CCEEFF"/>
          </w:tcPr>
          <w:p>
            <w:pPr>
              <w:spacing w:after="0"/>
              <w:rPr>
                <w:sz w:val="16"/>
                <w:szCs w:val="16"/>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0.01</w:t>
            </w:r>
          </w:p>
        </w:tc>
      </w:tr>
      <w:tr>
        <w:trPr>
          <w:trHeight w:val="185"/>
        </w:trPr>
        <w:tc>
          <w:tcPr>
            <w:tcW w:w="7480" w:type="dxa"/>
            <w:vAlign w:val="bottom"/>
          </w:tcPr>
          <w:p>
            <w:pPr>
              <w:ind w:left="280"/>
              <w:spacing w:after="0"/>
              <w:rPr>
                <w:sz w:val="20"/>
                <w:szCs w:val="20"/>
                <w:color w:val="auto"/>
              </w:rPr>
            </w:pPr>
            <w:r>
              <w:rPr>
                <w:rFonts w:ascii="Arial" w:cs="Arial" w:eastAsia="Arial" w:hAnsi="Arial"/>
                <w:sz w:val="14"/>
                <w:szCs w:val="14"/>
                <w:color w:val="auto"/>
              </w:rPr>
              <w:t>Discrete tax provision items</w:t>
            </w:r>
          </w:p>
        </w:tc>
        <w:tc>
          <w:tcPr>
            <w:tcW w:w="760" w:type="dxa"/>
            <w:vAlign w:val="bottom"/>
          </w:tcPr>
          <w:p>
            <w:pPr>
              <w:spacing w:after="0"/>
              <w:rPr>
                <w:sz w:val="16"/>
                <w:szCs w:val="16"/>
                <w:color w:val="auto"/>
              </w:rPr>
            </w:pPr>
          </w:p>
        </w:tc>
        <w:tc>
          <w:tcPr>
            <w:tcW w:w="400" w:type="dxa"/>
            <w:vAlign w:val="bottom"/>
          </w:tcPr>
          <w:p>
            <w:pPr>
              <w:jc w:val="right"/>
              <w:spacing w:after="0"/>
              <w:rPr>
                <w:sz w:val="20"/>
                <w:szCs w:val="20"/>
                <w:color w:val="auto"/>
              </w:rPr>
            </w:pPr>
            <w:r>
              <w:rPr>
                <w:rFonts w:ascii="Arial" w:cs="Arial" w:eastAsia="Arial" w:hAnsi="Arial"/>
                <w:sz w:val="14"/>
                <w:szCs w:val="14"/>
                <w:color w:val="auto"/>
                <w:w w:val="98"/>
              </w:rPr>
              <w:t>(0.03)</w:t>
            </w: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780" w:type="dxa"/>
            <w:vAlign w:val="bottom"/>
          </w:tcPr>
          <w:p>
            <w:pPr>
              <w:jc w:val="right"/>
              <w:spacing w:after="0"/>
              <w:rPr>
                <w:sz w:val="20"/>
                <w:szCs w:val="20"/>
                <w:color w:val="auto"/>
              </w:rPr>
            </w:pPr>
            <w:r>
              <w:rPr>
                <w:rFonts w:ascii="Arial" w:cs="Arial" w:eastAsia="Arial" w:hAnsi="Arial"/>
                <w:sz w:val="14"/>
                <w:szCs w:val="14"/>
                <w:color w:val="auto"/>
              </w:rPr>
              <w:t>(0.04)</w:t>
            </w:r>
          </w:p>
        </w:tc>
      </w:tr>
      <w:tr>
        <w:trPr>
          <w:trHeight w:val="190"/>
        </w:trPr>
        <w:tc>
          <w:tcPr>
            <w:tcW w:w="7480" w:type="dxa"/>
            <w:vAlign w:val="bottom"/>
            <w:shd w:val="clear" w:color="auto" w:fill="CCEEFF"/>
          </w:tcPr>
          <w:p>
            <w:pPr>
              <w:ind w:left="280"/>
              <w:spacing w:after="0"/>
              <w:rPr>
                <w:sz w:val="20"/>
                <w:szCs w:val="20"/>
                <w:color w:val="auto"/>
              </w:rPr>
            </w:pPr>
            <w:r>
              <w:rPr>
                <w:rFonts w:ascii="Arial" w:cs="Arial" w:eastAsia="Arial" w:hAnsi="Arial"/>
                <w:sz w:val="14"/>
                <w:szCs w:val="14"/>
                <w:color w:val="auto"/>
              </w:rPr>
              <w:t>Income tax effect of non-GAAP adjustments</w:t>
            </w:r>
          </w:p>
        </w:tc>
        <w:tc>
          <w:tcPr>
            <w:tcW w:w="760" w:type="dxa"/>
            <w:vAlign w:val="bottom"/>
            <w:tcBorders>
              <w:bottom w:val="single" w:sz="8" w:color="auto"/>
            </w:tcBorders>
            <w:shd w:val="clear" w:color="auto" w:fill="CCEEFF"/>
          </w:tcPr>
          <w:p>
            <w:pPr>
              <w:spacing w:after="0"/>
              <w:rPr>
                <w:sz w:val="16"/>
                <w:szCs w:val="16"/>
                <w:color w:val="auto"/>
              </w:rPr>
            </w:pPr>
          </w:p>
        </w:tc>
        <w:tc>
          <w:tcPr>
            <w:tcW w:w="4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w w:val="98"/>
              </w:rPr>
              <w:t>(0.04)</w:t>
            </w:r>
          </w:p>
        </w:tc>
        <w:tc>
          <w:tcPr>
            <w:tcW w:w="100" w:type="dxa"/>
            <w:vAlign w:val="bottom"/>
            <w:shd w:val="clear" w:color="auto" w:fill="CCEEFF"/>
          </w:tcPr>
          <w:p>
            <w:pPr>
              <w:spacing w:after="0"/>
              <w:rPr>
                <w:sz w:val="16"/>
                <w:szCs w:val="16"/>
                <w:color w:val="auto"/>
              </w:rPr>
            </w:pPr>
          </w:p>
        </w:tc>
        <w:tc>
          <w:tcPr>
            <w:tcW w:w="380" w:type="dxa"/>
            <w:vAlign w:val="bottom"/>
            <w:tcBorders>
              <w:bottom w:val="single" w:sz="8" w:color="auto"/>
            </w:tcBorders>
            <w:shd w:val="clear" w:color="auto" w:fill="CCEEFF"/>
          </w:tcPr>
          <w:p>
            <w:pPr>
              <w:spacing w:after="0"/>
              <w:rPr>
                <w:sz w:val="16"/>
                <w:szCs w:val="16"/>
                <w:color w:val="auto"/>
              </w:rPr>
            </w:pPr>
          </w:p>
        </w:tc>
        <w:tc>
          <w:tcPr>
            <w:tcW w:w="7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4"/>
                <w:szCs w:val="14"/>
                <w:color w:val="auto"/>
              </w:rPr>
              <w:t>(0.03)</w:t>
            </w:r>
          </w:p>
        </w:tc>
      </w:tr>
      <w:tr>
        <w:trPr>
          <w:trHeight w:val="177"/>
        </w:trPr>
        <w:tc>
          <w:tcPr>
            <w:tcW w:w="7480" w:type="dxa"/>
            <w:vAlign w:val="bottom"/>
          </w:tcPr>
          <w:p>
            <w:pPr>
              <w:spacing w:after="0"/>
              <w:rPr>
                <w:sz w:val="20"/>
                <w:szCs w:val="20"/>
                <w:color w:val="auto"/>
              </w:rPr>
            </w:pPr>
            <w:r>
              <w:rPr>
                <w:rFonts w:ascii="Arial" w:cs="Arial" w:eastAsia="Arial" w:hAnsi="Arial"/>
                <w:sz w:val="14"/>
                <w:szCs w:val="14"/>
                <w:color w:val="auto"/>
              </w:rPr>
              <w:t>Non-GAAP diluted net income per share</w:t>
            </w:r>
          </w:p>
        </w:tc>
        <w:tc>
          <w:tcPr>
            <w:tcW w:w="760" w:type="dxa"/>
            <w:vAlign w:val="bottom"/>
          </w:tcPr>
          <w:p>
            <w:pPr>
              <w:jc w:val="right"/>
              <w:ind w:right="593"/>
              <w:spacing w:after="0"/>
              <w:rPr>
                <w:sz w:val="20"/>
                <w:szCs w:val="20"/>
                <w:color w:val="auto"/>
              </w:rPr>
            </w:pPr>
            <w:r>
              <w:rPr>
                <w:rFonts w:ascii="Arial" w:cs="Arial" w:eastAsia="Arial" w:hAnsi="Arial"/>
                <w:sz w:val="14"/>
                <w:szCs w:val="14"/>
                <w:color w:val="auto"/>
              </w:rPr>
              <w:t>$</w:t>
            </w:r>
          </w:p>
        </w:tc>
        <w:tc>
          <w:tcPr>
            <w:tcW w:w="400" w:type="dxa"/>
            <w:vAlign w:val="bottom"/>
          </w:tcPr>
          <w:p>
            <w:pPr>
              <w:jc w:val="right"/>
              <w:spacing w:after="0"/>
              <w:rPr>
                <w:sz w:val="20"/>
                <w:szCs w:val="20"/>
                <w:color w:val="auto"/>
              </w:rPr>
            </w:pPr>
            <w:r>
              <w:rPr>
                <w:rFonts w:ascii="Arial" w:cs="Arial" w:eastAsia="Arial" w:hAnsi="Arial"/>
                <w:sz w:val="14"/>
                <w:szCs w:val="14"/>
                <w:color w:val="auto"/>
              </w:rPr>
              <w:t>1.55</w:t>
            </w:r>
          </w:p>
        </w:tc>
        <w:tc>
          <w:tcPr>
            <w:tcW w:w="480" w:type="dxa"/>
            <w:vAlign w:val="bottom"/>
            <w:gridSpan w:val="2"/>
          </w:tcPr>
          <w:p>
            <w:pPr>
              <w:jc w:val="right"/>
              <w:ind w:right="280"/>
              <w:spacing w:after="0"/>
              <w:rPr>
                <w:sz w:val="20"/>
                <w:szCs w:val="20"/>
                <w:color w:val="auto"/>
              </w:rPr>
            </w:pPr>
            <w:r>
              <w:rPr>
                <w:rFonts w:ascii="Arial" w:cs="Arial" w:eastAsia="Arial" w:hAnsi="Arial"/>
                <w:sz w:val="14"/>
                <w:szCs w:val="14"/>
                <w:color w:val="auto"/>
              </w:rPr>
              <w:t>$</w:t>
            </w:r>
          </w:p>
        </w:tc>
        <w:tc>
          <w:tcPr>
            <w:tcW w:w="780" w:type="dxa"/>
            <w:vAlign w:val="bottom"/>
          </w:tcPr>
          <w:p>
            <w:pPr>
              <w:jc w:val="right"/>
              <w:spacing w:after="0"/>
              <w:rPr>
                <w:sz w:val="20"/>
                <w:szCs w:val="20"/>
                <w:color w:val="auto"/>
              </w:rPr>
            </w:pPr>
            <w:r>
              <w:rPr>
                <w:rFonts w:ascii="Arial" w:cs="Arial" w:eastAsia="Arial" w:hAnsi="Arial"/>
                <w:sz w:val="14"/>
                <w:szCs w:val="14"/>
                <w:color w:val="auto"/>
              </w:rPr>
              <w:t>1.43</w:t>
            </w:r>
          </w:p>
        </w:tc>
      </w:tr>
      <w:tr>
        <w:trPr>
          <w:trHeight w:val="20"/>
        </w:trPr>
        <w:tc>
          <w:tcPr>
            <w:tcW w:w="7480" w:type="dxa"/>
            <w:vAlign w:val="bottom"/>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80" w:type="dxa"/>
            <w:vAlign w:val="bottom"/>
            <w:tcBorders>
              <w:top w:val="single" w:sz="8" w:color="auto"/>
              <w:bottom w:val="single" w:sz="8" w:color="auto"/>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r>
    </w:tbl>
    <w:p>
      <w:pPr>
        <w:spacing w:after="0" w:line="40" w:lineRule="exact"/>
        <w:rPr>
          <w:sz w:val="20"/>
          <w:szCs w:val="20"/>
          <w:color w:val="auto"/>
        </w:rPr>
      </w:pPr>
    </w:p>
    <w:p>
      <w:pPr>
        <w:spacing w:after="0"/>
        <w:rPr>
          <w:sz w:val="20"/>
          <w:szCs w:val="20"/>
          <w:color w:val="auto"/>
        </w:rPr>
      </w:pPr>
      <w:r>
        <w:rPr>
          <w:rFonts w:ascii="Arial" w:cs="Arial" w:eastAsia="Arial" w:hAnsi="Arial"/>
          <w:sz w:val="15"/>
          <w:szCs w:val="15"/>
          <w:color w:val="auto"/>
        </w:rPr>
        <w:t>____________________</w:t>
      </w:r>
    </w:p>
    <w:p>
      <w:pPr>
        <w:spacing w:after="0" w:line="12" w:lineRule="exact"/>
        <w:rPr>
          <w:sz w:val="20"/>
          <w:szCs w:val="20"/>
          <w:color w:val="auto"/>
        </w:rPr>
      </w:pPr>
    </w:p>
    <w:p>
      <w:pPr>
        <w:ind w:left="360" w:hanging="356"/>
        <w:spacing w:after="0"/>
        <w:tabs>
          <w:tab w:leader="none" w:pos="360" w:val="left"/>
        </w:tabs>
        <w:numPr>
          <w:ilvl w:val="0"/>
          <w:numId w:val="20"/>
        </w:numPr>
        <w:rPr>
          <w:rFonts w:ascii="Arial" w:cs="Arial" w:eastAsia="Arial" w:hAnsi="Arial"/>
          <w:sz w:val="14"/>
          <w:szCs w:val="14"/>
          <w:color w:val="auto"/>
        </w:rPr>
      </w:pPr>
      <w:r>
        <w:rPr>
          <w:rFonts w:ascii="Arial" w:cs="Arial" w:eastAsia="Arial" w:hAnsi="Arial"/>
          <w:sz w:val="14"/>
          <w:szCs w:val="14"/>
          <w:color w:val="auto"/>
        </w:rPr>
        <w:t>Totals may not sum due to rounding.</w:t>
      </w:r>
    </w:p>
    <w:p>
      <w:pPr>
        <w:spacing w:after="0" w:line="216" w:lineRule="exact"/>
        <w:rPr>
          <w:rFonts w:ascii="Arial" w:cs="Arial" w:eastAsia="Arial" w:hAnsi="Arial"/>
          <w:sz w:val="14"/>
          <w:szCs w:val="14"/>
          <w:color w:val="auto"/>
        </w:rPr>
      </w:pPr>
    </w:p>
    <w:p>
      <w:pPr>
        <w:ind w:left="360"/>
        <w:spacing w:after="0"/>
        <w:rPr>
          <w:rFonts w:ascii="Arial" w:cs="Arial" w:eastAsia="Arial" w:hAnsi="Arial"/>
          <w:sz w:val="14"/>
          <w:szCs w:val="14"/>
          <w:color w:val="auto"/>
        </w:rPr>
      </w:pPr>
      <w:r>
        <w:rPr>
          <w:rFonts w:ascii="Arial" w:cs="Arial" w:eastAsia="Arial" w:hAnsi="Arial"/>
          <w:sz w:val="15"/>
          <w:szCs w:val="15"/>
          <w:color w:val="auto"/>
        </w:rPr>
        <w:t>Our non-GAAP financial measures may exclude the following, as applicable:</w:t>
      </w:r>
    </w:p>
    <w:p>
      <w:pPr>
        <w:spacing w:after="0" w:line="220" w:lineRule="exact"/>
        <w:rPr>
          <w:sz w:val="20"/>
          <w:szCs w:val="20"/>
          <w:color w:val="auto"/>
        </w:rPr>
      </w:pPr>
    </w:p>
    <w:p>
      <w:pPr>
        <w:ind w:firstLine="351"/>
        <w:spacing w:after="0" w:line="253" w:lineRule="auto"/>
        <w:rPr>
          <w:sz w:val="20"/>
          <w:szCs w:val="20"/>
          <w:color w:val="auto"/>
        </w:rPr>
      </w:pPr>
      <w:r>
        <w:rPr>
          <w:rFonts w:ascii="Arial" w:cs="Arial" w:eastAsia="Arial" w:hAnsi="Arial"/>
          <w:sz w:val="15"/>
          <w:szCs w:val="15"/>
          <w:i w:val="1"/>
          <w:iCs w:val="1"/>
          <w:color w:val="auto"/>
        </w:rPr>
        <w:t xml:space="preserve">Stock-based compensation expenses. </w:t>
      </w:r>
      <w:r>
        <w:rPr>
          <w:rFonts w:ascii="Arial" w:cs="Arial" w:eastAsia="Arial" w:hAnsi="Arial"/>
          <w:sz w:val="15"/>
          <w:szCs w:val="15"/>
          <w:color w:val="auto"/>
        </w:rPr>
        <w:t>We exclude stock-based compensation expenses from non-GAAP measures primarily because they are non-cash expenses and management finds it useful to exclude certain non-cash charges to assess the appropriate level of various operating expenses to assist in budgeting, planning, and forecasting future periods. Moreover, because of varying available valuation methodologies, subjective assumptions, and the variety of award types that companies can use under FASB ASC Topic 718, we believe excluding stock-based compensation expenses allows investors to make meaningful comparisons between our recurring core business operating results and those of other companies.</w:t>
      </w:r>
    </w:p>
    <w:p>
      <w:pPr>
        <w:spacing w:after="0" w:line="192" w:lineRule="exact"/>
        <w:rPr>
          <w:sz w:val="20"/>
          <w:szCs w:val="20"/>
          <w:color w:val="auto"/>
        </w:rPr>
      </w:pPr>
    </w:p>
    <w:p>
      <w:pPr>
        <w:ind w:right="40" w:firstLine="351"/>
        <w:spacing w:after="0" w:line="251" w:lineRule="auto"/>
        <w:rPr>
          <w:sz w:val="20"/>
          <w:szCs w:val="20"/>
          <w:color w:val="auto"/>
        </w:rPr>
      </w:pPr>
      <w:r>
        <w:rPr>
          <w:rFonts w:ascii="Arial" w:cs="Arial" w:eastAsia="Arial" w:hAnsi="Arial"/>
          <w:sz w:val="15"/>
          <w:szCs w:val="15"/>
          <w:i w:val="1"/>
          <w:iCs w:val="1"/>
          <w:color w:val="auto"/>
        </w:rPr>
        <w:t xml:space="preserve">Amortization of developed technologies and purchased intangibles. </w:t>
      </w:r>
      <w:r>
        <w:rPr>
          <w:rFonts w:ascii="Arial" w:cs="Arial" w:eastAsia="Arial" w:hAnsi="Arial"/>
          <w:sz w:val="15"/>
          <w:szCs w:val="15"/>
          <w:color w:val="auto"/>
        </w:rPr>
        <w:t>We incur amortization of acquisition -related developed technologies and purchased</w:t>
      </w:r>
      <w:r>
        <w:rPr>
          <w:rFonts w:ascii="Arial" w:cs="Arial" w:eastAsia="Arial" w:hAnsi="Arial"/>
          <w:sz w:val="15"/>
          <w:szCs w:val="15"/>
          <w:i w:val="1"/>
          <w:iCs w:val="1"/>
          <w:color w:val="auto"/>
        </w:rPr>
        <w:t xml:space="preserve"> </w:t>
      </w:r>
      <w:r>
        <w:rPr>
          <w:rFonts w:ascii="Arial" w:cs="Arial" w:eastAsia="Arial" w:hAnsi="Arial"/>
          <w:sz w:val="15"/>
          <w:szCs w:val="15"/>
          <w:color w:val="auto"/>
        </w:rPr>
        <w:t>intangibles in connection with acquisitions of certain businesses and technologies. Amortization of developed technologies and purchased intangibles is inconsistent in amount and frequency and is significantly affected by the timing and size of our acquisitions. Management finds it useful to exclude these variable charges from our cost of revenues to assist in budgeting, planning, and forecasting future periods. Investors should note that the use of intangible assets contributed to our revenues earned during the periods presented and will contribute to our future period revenues as well. Amortization of developed technologies and purchased intangible assets will recur in future periods.</w:t>
      </w:r>
    </w:p>
    <w:p>
      <w:pPr>
        <w:spacing w:after="0" w:line="195" w:lineRule="exact"/>
        <w:rPr>
          <w:sz w:val="20"/>
          <w:szCs w:val="20"/>
          <w:color w:val="auto"/>
        </w:rPr>
      </w:pPr>
    </w:p>
    <w:p>
      <w:pPr>
        <w:ind w:right="20" w:firstLine="351"/>
        <w:spacing w:after="0" w:line="253" w:lineRule="auto"/>
        <w:rPr>
          <w:sz w:val="20"/>
          <w:szCs w:val="20"/>
          <w:color w:val="auto"/>
        </w:rPr>
      </w:pPr>
      <w:r>
        <w:rPr>
          <w:rFonts w:ascii="Arial" w:cs="Arial" w:eastAsia="Arial" w:hAnsi="Arial"/>
          <w:sz w:val="15"/>
          <w:szCs w:val="15"/>
          <w:i w:val="1"/>
          <w:iCs w:val="1"/>
          <w:color w:val="auto"/>
        </w:rPr>
        <w:t xml:space="preserve">CEO transition costs. </w:t>
      </w:r>
      <w:r>
        <w:rPr>
          <w:rFonts w:ascii="Arial" w:cs="Arial" w:eastAsia="Arial" w:hAnsi="Arial"/>
          <w:sz w:val="15"/>
          <w:szCs w:val="15"/>
          <w:color w:val="auto"/>
        </w:rPr>
        <w:t>We exclude amounts paid to our former CEOs upon departure under the terms of their transition agreements, including severance</w:t>
      </w:r>
      <w:r>
        <w:rPr>
          <w:rFonts w:ascii="Arial" w:cs="Arial" w:eastAsia="Arial" w:hAnsi="Arial"/>
          <w:sz w:val="15"/>
          <w:szCs w:val="15"/>
          <w:i w:val="1"/>
          <w:iCs w:val="1"/>
          <w:color w:val="auto"/>
        </w:rPr>
        <w:t xml:space="preserve"> </w:t>
      </w:r>
      <w:r>
        <w:rPr>
          <w:rFonts w:ascii="Arial" w:cs="Arial" w:eastAsia="Arial" w:hAnsi="Arial"/>
          <w:sz w:val="15"/>
          <w:szCs w:val="15"/>
          <w:color w:val="auto"/>
        </w:rPr>
        <w:t>payments, acceleration of restricted stock units, and continued vesting of performance stock units, and legal fees incurred with the transition. Also excluded from our non-GAAP measures are recruiting costs related to the search for a new CEO. These costs represent non -recurring expenses and are not indicative of our ongoing operating expenses. We further believe that excluding the CEO transition costs from our non-GAAP results is useful to investors in that it allows for period-over-period comparability.</w:t>
      </w:r>
    </w:p>
    <w:p>
      <w:pPr>
        <w:spacing w:after="0" w:line="192" w:lineRule="exact"/>
        <w:rPr>
          <w:sz w:val="20"/>
          <w:szCs w:val="20"/>
          <w:color w:val="auto"/>
        </w:rPr>
      </w:pPr>
    </w:p>
    <w:p>
      <w:pPr>
        <w:ind w:right="160" w:firstLine="351"/>
        <w:spacing w:after="0" w:line="262" w:lineRule="auto"/>
        <w:rPr>
          <w:sz w:val="20"/>
          <w:szCs w:val="20"/>
          <w:color w:val="auto"/>
        </w:rPr>
      </w:pPr>
      <w:r>
        <w:rPr>
          <w:rFonts w:ascii="Arial" w:cs="Arial" w:eastAsia="Arial" w:hAnsi="Arial"/>
          <w:sz w:val="15"/>
          <w:szCs w:val="15"/>
          <w:i w:val="1"/>
          <w:iCs w:val="1"/>
          <w:color w:val="auto"/>
        </w:rPr>
        <w:t xml:space="preserve">Goodwill impairment. </w:t>
      </w:r>
      <w:r>
        <w:rPr>
          <w:rFonts w:ascii="Arial" w:cs="Arial" w:eastAsia="Arial" w:hAnsi="Arial"/>
          <w:sz w:val="15"/>
          <w:szCs w:val="15"/>
          <w:color w:val="auto"/>
        </w:rPr>
        <w:t>This is a non-cash charge to write down goodwill to fair value when there was an indication that the asset was impaired. As</w:t>
      </w:r>
      <w:r>
        <w:rPr>
          <w:rFonts w:ascii="Arial" w:cs="Arial" w:eastAsia="Arial" w:hAnsi="Arial"/>
          <w:sz w:val="15"/>
          <w:szCs w:val="15"/>
          <w:i w:val="1"/>
          <w:iCs w:val="1"/>
          <w:color w:val="auto"/>
        </w:rPr>
        <w:t xml:space="preserve"> </w:t>
      </w:r>
      <w:r>
        <w:rPr>
          <w:rFonts w:ascii="Arial" w:cs="Arial" w:eastAsia="Arial" w:hAnsi="Arial"/>
          <w:sz w:val="15"/>
          <w:szCs w:val="15"/>
          <w:color w:val="auto"/>
        </w:rPr>
        <w:t>explained above, management finds it useful to exclude certain non-cash charges to assess the appropriate level of various operating expenses to assist in budgeting, planning, and forecasting future periods.</w:t>
      </w:r>
    </w:p>
    <w:p>
      <w:pPr>
        <w:spacing w:after="0" w:line="185" w:lineRule="exact"/>
        <w:rPr>
          <w:sz w:val="20"/>
          <w:szCs w:val="20"/>
          <w:color w:val="auto"/>
        </w:rPr>
      </w:pPr>
    </w:p>
    <w:p>
      <w:pPr>
        <w:ind w:right="160" w:firstLine="351"/>
        <w:spacing w:after="0" w:line="256" w:lineRule="auto"/>
        <w:rPr>
          <w:sz w:val="20"/>
          <w:szCs w:val="20"/>
          <w:color w:val="auto"/>
        </w:rPr>
      </w:pPr>
      <w:r>
        <w:rPr>
          <w:rFonts w:ascii="Arial" w:cs="Arial" w:eastAsia="Arial" w:hAnsi="Arial"/>
          <w:sz w:val="15"/>
          <w:szCs w:val="15"/>
          <w:i w:val="1"/>
          <w:iCs w:val="1"/>
          <w:color w:val="auto"/>
        </w:rPr>
        <w:t xml:space="preserve">Restructuring and other exit costs, net. </w:t>
      </w:r>
      <w:r>
        <w:rPr>
          <w:rFonts w:ascii="Arial" w:cs="Arial" w:eastAsia="Arial" w:hAnsi="Arial"/>
          <w:sz w:val="15"/>
          <w:szCs w:val="15"/>
          <w:color w:val="auto"/>
        </w:rPr>
        <w:t>These expenses are associated with realigning our business strategies based on current economic conditions.</w:t>
      </w:r>
      <w:r>
        <w:rPr>
          <w:rFonts w:ascii="Arial" w:cs="Arial" w:eastAsia="Arial" w:hAnsi="Arial"/>
          <w:sz w:val="15"/>
          <w:szCs w:val="15"/>
          <w:i w:val="1"/>
          <w:iCs w:val="1"/>
          <w:color w:val="auto"/>
        </w:rPr>
        <w:t xml:space="preserve"> </w:t>
      </w:r>
      <w:r>
        <w:rPr>
          <w:rFonts w:ascii="Arial" w:cs="Arial" w:eastAsia="Arial" w:hAnsi="Arial"/>
          <w:sz w:val="15"/>
          <w:szCs w:val="15"/>
          <w:color w:val="auto"/>
        </w:rPr>
        <w:t>In connection with these restructuring actions or other exit actions, we recognize costs related to termination benefits for former employees whose positions were eliminated, the closure of facilities, and cancellation of certain contracts. We exclude these charges because these expenses are not reflective of ongoing business and operating results. We believe it is useful for investors to understand the effects of these items on our total operating expenses.</w:t>
      </w:r>
    </w:p>
    <w:p>
      <w:pPr>
        <w:spacing w:after="0" w:line="190" w:lineRule="exact"/>
        <w:rPr>
          <w:sz w:val="20"/>
          <w:szCs w:val="20"/>
          <w:color w:val="auto"/>
        </w:rPr>
      </w:pPr>
    </w:p>
    <w:p>
      <w:pPr>
        <w:ind w:right="60" w:firstLine="351"/>
        <w:spacing w:after="0" w:line="237" w:lineRule="auto"/>
        <w:rPr>
          <w:sz w:val="20"/>
          <w:szCs w:val="20"/>
          <w:color w:val="auto"/>
        </w:rPr>
      </w:pPr>
      <w:r>
        <w:rPr>
          <w:rFonts w:ascii="Arial" w:cs="Arial" w:eastAsia="Arial" w:hAnsi="Arial"/>
          <w:sz w:val="15"/>
          <w:szCs w:val="15"/>
          <w:i w:val="1"/>
          <w:iCs w:val="1"/>
          <w:color w:val="auto"/>
        </w:rPr>
        <w:t xml:space="preserve">Lease-related asset impairments and other charges.  </w:t>
      </w:r>
      <w:r>
        <w:rPr>
          <w:rFonts w:ascii="Arial" w:cs="Arial" w:eastAsia="Arial" w:hAnsi="Arial"/>
          <w:sz w:val="15"/>
          <w:szCs w:val="15"/>
          <w:color w:val="auto"/>
        </w:rPr>
        <w:t> These charges are associated with the optimization of our facilities costs related to leases for</w:t>
      </w:r>
      <w:r>
        <w:rPr>
          <w:rFonts w:ascii="Arial" w:cs="Arial" w:eastAsia="Arial" w:hAnsi="Arial"/>
          <w:sz w:val="15"/>
          <w:szCs w:val="15"/>
          <w:i w:val="1"/>
          <w:iCs w:val="1"/>
          <w:color w:val="auto"/>
        </w:rPr>
        <w:t xml:space="preserve"> </w:t>
      </w:r>
      <w:r>
        <w:rPr>
          <w:rFonts w:ascii="Arial" w:cs="Arial" w:eastAsia="Arial" w:hAnsi="Arial"/>
          <w:sz w:val="15"/>
          <w:szCs w:val="15"/>
          <w:color w:val="auto"/>
        </w:rPr>
        <w:t>facilities that we have recently vacated as a result of our one- time move to a more hybrid remote workforce. In connection with these facility leases, we recognize costs related to the impairment or abandonment of operating lease right-of -use assets, computer equipment, furniture, and leasehold improvements, and other costs. We exclude these charges because these expenses are not reflective of ongoing business and operating results. We believe it is useful for investors to understand the effects of these items on our total operating expenses.</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440" w:right="640" w:bottom="1440" w:gutter="0" w:footer="0" w:header="0"/>
        </w:sectPr>
      </w:pPr>
    </w:p>
    <w:bookmarkStart w:id="43" w:name="page44"/>
    <w:bookmarkEnd w:id="43"/>
    <w:p>
      <w:pPr>
        <w:ind w:right="20" w:firstLine="351"/>
        <w:spacing w:after="0" w:line="253" w:lineRule="auto"/>
        <w:rPr>
          <w:sz w:val="20"/>
          <w:szCs w:val="20"/>
          <w:color w:val="auto"/>
        </w:rPr>
      </w:pPr>
      <w:r>
        <w:rPr>
          <w:rFonts w:ascii="Arial" w:cs="Arial" w:eastAsia="Arial" w:hAnsi="Arial"/>
          <w:sz w:val="15"/>
          <w:szCs w:val="15"/>
          <w:i w:val="1"/>
          <w:iCs w:val="1"/>
          <w:color w:val="auto"/>
        </w:rPr>
        <w:t xml:space="preserve">Acquisition-related costs. </w:t>
      </w:r>
      <w:r>
        <w:rPr>
          <w:rFonts w:ascii="Arial" w:cs="Arial" w:eastAsia="Arial" w:hAnsi="Arial"/>
          <w:sz w:val="15"/>
          <w:szCs w:val="15"/>
          <w:color w:val="auto"/>
        </w:rPr>
        <w:t>We exclude certain acquisition-related costs, including due diligence costs, professional fees in connection with an</w:t>
      </w:r>
      <w:r>
        <w:rPr>
          <w:rFonts w:ascii="Arial" w:cs="Arial" w:eastAsia="Arial" w:hAnsi="Arial"/>
          <w:sz w:val="15"/>
          <w:szCs w:val="15"/>
          <w:i w:val="1"/>
          <w:iCs w:val="1"/>
          <w:color w:val="auto"/>
        </w:rPr>
        <w:t xml:space="preserve"> </w:t>
      </w:r>
      <w:r>
        <w:rPr>
          <w:rFonts w:ascii="Arial" w:cs="Arial" w:eastAsia="Arial" w:hAnsi="Arial"/>
          <w:sz w:val="15"/>
          <w:szCs w:val="15"/>
          <w:color w:val="auto"/>
        </w:rPr>
        <w:t>acquisition, certain financing costs, and certain integration-related expenses. These expenses are unpredictable, and dependent on factors that may be outside of our control and unrelated to the continuing operations of the acquired business or our Company. In addition, the size and complexity of an acquisition, which often drives the magnitude of acquisition-related costs, may not be indicative of such future costs. We believe excluding acquisition-related costs facilitates the comparison of our financial results to our historical operating results and to other companies in our industry.</w:t>
      </w:r>
    </w:p>
    <w:p>
      <w:pPr>
        <w:spacing w:after="0" w:line="192" w:lineRule="exact"/>
        <w:rPr>
          <w:sz w:val="20"/>
          <w:szCs w:val="20"/>
          <w:color w:val="auto"/>
        </w:rPr>
      </w:pPr>
    </w:p>
    <w:p>
      <w:pPr>
        <w:ind w:right="60" w:firstLine="351"/>
        <w:spacing w:after="0" w:line="251" w:lineRule="auto"/>
        <w:rPr>
          <w:sz w:val="20"/>
          <w:szCs w:val="20"/>
          <w:color w:val="auto"/>
        </w:rPr>
      </w:pPr>
      <w:r>
        <w:rPr>
          <w:rFonts w:ascii="Arial" w:cs="Arial" w:eastAsia="Arial" w:hAnsi="Arial"/>
          <w:sz w:val="15"/>
          <w:szCs w:val="15"/>
          <w:i w:val="1"/>
          <w:iCs w:val="1"/>
          <w:color w:val="auto"/>
        </w:rPr>
        <w:t xml:space="preserve">Loss (gain) on strategic investments and dispositions. </w:t>
      </w:r>
      <w:r>
        <w:rPr>
          <w:rFonts w:ascii="Arial" w:cs="Arial" w:eastAsia="Arial" w:hAnsi="Arial"/>
          <w:sz w:val="15"/>
          <w:szCs w:val="15"/>
          <w:color w:val="auto"/>
        </w:rPr>
        <w:t>We exclude gains and losses related to our strategic investments and dispositions of strategic</w:t>
      </w:r>
      <w:r>
        <w:rPr>
          <w:rFonts w:ascii="Arial" w:cs="Arial" w:eastAsia="Arial" w:hAnsi="Arial"/>
          <w:sz w:val="15"/>
          <w:szCs w:val="15"/>
          <w:i w:val="1"/>
          <w:iCs w:val="1"/>
          <w:color w:val="auto"/>
        </w:rPr>
        <w:t xml:space="preserve"> </w:t>
      </w:r>
      <w:r>
        <w:rPr>
          <w:rFonts w:ascii="Arial" w:cs="Arial" w:eastAsia="Arial" w:hAnsi="Arial"/>
          <w:sz w:val="15"/>
          <w:szCs w:val="15"/>
          <w:color w:val="auto"/>
        </w:rPr>
        <w:t>investments, purchased intangibles, and businesses from our non-GAAP measures primarily because management finds it useful to exclude these variable gains and losses on these investments and dispositions in assessing our financial results. Included in these amounts are non -cash unrealized gains and losses on the derivative components, dividends received, realized gains and losses on the sales or losses on the impairment of these investments, and gain and loss on dispositions. We believe excluding these items is useful to investors because these excluded items do not correlate to the underlying performance of our business and these losses or gains were incurred in connection with strategic investments and dispositions which do not occur regularly.</w:t>
      </w:r>
    </w:p>
    <w:p>
      <w:pPr>
        <w:spacing w:after="0" w:line="195" w:lineRule="exact"/>
        <w:rPr>
          <w:sz w:val="20"/>
          <w:szCs w:val="20"/>
          <w:color w:val="auto"/>
        </w:rPr>
      </w:pPr>
    </w:p>
    <w:p>
      <w:pPr>
        <w:ind w:right="40" w:firstLine="351"/>
        <w:spacing w:after="0" w:line="250" w:lineRule="auto"/>
        <w:rPr>
          <w:sz w:val="20"/>
          <w:szCs w:val="20"/>
          <w:color w:val="auto"/>
        </w:rPr>
      </w:pPr>
      <w:r>
        <w:rPr>
          <w:rFonts w:ascii="Arial" w:cs="Arial" w:eastAsia="Arial" w:hAnsi="Arial"/>
          <w:sz w:val="15"/>
          <w:szCs w:val="15"/>
          <w:i w:val="1"/>
          <w:iCs w:val="1"/>
          <w:color w:val="auto"/>
        </w:rPr>
        <w:t xml:space="preserve">Discrete tax provision items. </w:t>
      </w:r>
      <w:r>
        <w:rPr>
          <w:rFonts w:ascii="Arial" w:cs="Arial" w:eastAsia="Arial" w:hAnsi="Arial"/>
          <w:sz w:val="15"/>
          <w:szCs w:val="15"/>
          <w:color w:val="auto"/>
        </w:rPr>
        <w:t>We exclude the GAAP tax provision, including discrete items, from the non- GAAP measure of net income (loss), and</w:t>
      </w:r>
      <w:r>
        <w:rPr>
          <w:rFonts w:ascii="Arial" w:cs="Arial" w:eastAsia="Arial" w:hAnsi="Arial"/>
          <w:sz w:val="15"/>
          <w:szCs w:val="15"/>
          <w:i w:val="1"/>
          <w:iCs w:val="1"/>
          <w:color w:val="auto"/>
        </w:rPr>
        <w:t xml:space="preserve"> </w:t>
      </w:r>
      <w:r>
        <w:rPr>
          <w:rFonts w:ascii="Arial" w:cs="Arial" w:eastAsia="Arial" w:hAnsi="Arial"/>
          <w:sz w:val="15"/>
          <w:szCs w:val="15"/>
          <w:color w:val="auto"/>
        </w:rPr>
        <w:t>include a non-GAAP tax provision based upon the projected annual non-GAAP effective tax rate. Discrete tax items include income tax expenses or benefits that do not relate to ordinary income from continuing operations in the current fiscal year, unusual or infrequently occurring items, or the tax impact of certain stock-based compensation. Examples of discrete tax items include, but are not limited to, certain changes in judgment and changes in estimates of tax matters related to prior fiscal years, certain costs related to business combinations, certain changes in the realizability of deferred tax assets, or changes in tax law. Management believes this approach assists investors in understanding the tax provision and the effective tax rate related to ongoing operations. We believe the exclusion of these discrete tax items provides investors with useful supplemental information about our operational performance.</w:t>
      </w:r>
    </w:p>
    <w:p>
      <w:pPr>
        <w:spacing w:after="0" w:line="195" w:lineRule="exact"/>
        <w:rPr>
          <w:sz w:val="20"/>
          <w:szCs w:val="20"/>
          <w:color w:val="auto"/>
        </w:rPr>
      </w:pPr>
    </w:p>
    <w:p>
      <w:pPr>
        <w:ind w:right="280" w:firstLine="351"/>
        <w:spacing w:after="0" w:line="262" w:lineRule="auto"/>
        <w:rPr>
          <w:sz w:val="20"/>
          <w:szCs w:val="20"/>
          <w:color w:val="auto"/>
        </w:rPr>
      </w:pPr>
      <w:r>
        <w:rPr>
          <w:rFonts w:ascii="Arial" w:cs="Arial" w:eastAsia="Arial" w:hAnsi="Arial"/>
          <w:sz w:val="15"/>
          <w:szCs w:val="15"/>
          <w:i w:val="1"/>
          <w:iCs w:val="1"/>
          <w:color w:val="auto"/>
        </w:rPr>
        <w:t xml:space="preserve">Establishment (release) of a valuation allowance on certain net deferred tax assets. </w:t>
      </w:r>
      <w:r>
        <w:rPr>
          <w:rFonts w:ascii="Arial" w:cs="Arial" w:eastAsia="Arial" w:hAnsi="Arial"/>
          <w:sz w:val="15"/>
          <w:szCs w:val="15"/>
          <w:color w:val="auto"/>
        </w:rPr>
        <w:t>This is a non-cash charge to record or to release a valuation</w:t>
      </w:r>
      <w:r>
        <w:rPr>
          <w:rFonts w:ascii="Arial" w:cs="Arial" w:eastAsia="Arial" w:hAnsi="Arial"/>
          <w:sz w:val="15"/>
          <w:szCs w:val="15"/>
          <w:i w:val="1"/>
          <w:iCs w:val="1"/>
          <w:color w:val="auto"/>
        </w:rPr>
        <w:t xml:space="preserve"> </w:t>
      </w:r>
      <w:r>
        <w:rPr>
          <w:rFonts w:ascii="Arial" w:cs="Arial" w:eastAsia="Arial" w:hAnsi="Arial"/>
          <w:sz w:val="15"/>
          <w:szCs w:val="15"/>
          <w:color w:val="auto"/>
        </w:rPr>
        <w:t>allowance on certain deferred tax assets. As explained above, management finds it useful to exclude certain non-cash charges to assess the appropriate level of various cash expenses to assist in budgeting, planning, and forecasting future periods.</w:t>
      </w:r>
    </w:p>
    <w:p>
      <w:pPr>
        <w:spacing w:after="0" w:line="185" w:lineRule="exact"/>
        <w:rPr>
          <w:sz w:val="20"/>
          <w:szCs w:val="20"/>
          <w:color w:val="auto"/>
        </w:rPr>
      </w:pPr>
    </w:p>
    <w:p>
      <w:pPr>
        <w:ind w:right="20" w:firstLine="351"/>
        <w:spacing w:after="0" w:line="262" w:lineRule="auto"/>
        <w:rPr>
          <w:sz w:val="20"/>
          <w:szCs w:val="20"/>
          <w:color w:val="auto"/>
        </w:rPr>
      </w:pPr>
      <w:r>
        <w:rPr>
          <w:rFonts w:ascii="Arial" w:cs="Arial" w:eastAsia="Arial" w:hAnsi="Arial"/>
          <w:sz w:val="15"/>
          <w:szCs w:val="15"/>
          <w:i w:val="1"/>
          <w:iCs w:val="1"/>
          <w:color w:val="auto"/>
        </w:rPr>
        <w:t xml:space="preserve">Income tax effects on the difference between GAAP and non-GAAP costs and expenses. </w:t>
      </w:r>
      <w:r>
        <w:rPr>
          <w:rFonts w:ascii="Arial" w:cs="Arial" w:eastAsia="Arial" w:hAnsi="Arial"/>
          <w:sz w:val="15"/>
          <w:szCs w:val="15"/>
          <w:color w:val="auto"/>
        </w:rPr>
        <w:t>The income tax effects that are excluded from the non-GAAP</w:t>
      </w:r>
      <w:r>
        <w:rPr>
          <w:rFonts w:ascii="Arial" w:cs="Arial" w:eastAsia="Arial" w:hAnsi="Arial"/>
          <w:sz w:val="15"/>
          <w:szCs w:val="15"/>
          <w:i w:val="1"/>
          <w:iCs w:val="1"/>
          <w:color w:val="auto"/>
        </w:rPr>
        <w:t xml:space="preserve"> </w:t>
      </w:r>
      <w:r>
        <w:rPr>
          <w:rFonts w:ascii="Arial" w:cs="Arial" w:eastAsia="Arial" w:hAnsi="Arial"/>
          <w:sz w:val="15"/>
          <w:szCs w:val="15"/>
          <w:color w:val="auto"/>
        </w:rPr>
        <w:t>measures relate to the tax impact on the difference between GAAP and non-GAAP expenses, primarily due to stock-based compensation, amortization of purchased intangibles, and restructuring charges and other exit costs (benefits) for GAAP and non-GAAP measures.</w:t>
      </w:r>
    </w:p>
    <w:p>
      <w:pPr>
        <w:spacing w:after="0" w:line="183"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Liquidity and Capital Resources</w:t>
      </w:r>
    </w:p>
    <w:p>
      <w:pPr>
        <w:spacing w:after="0" w:line="234" w:lineRule="exact"/>
        <w:rPr>
          <w:sz w:val="20"/>
          <w:szCs w:val="20"/>
          <w:color w:val="auto"/>
        </w:rPr>
      </w:pPr>
    </w:p>
    <w:p>
      <w:pPr>
        <w:ind w:firstLine="351"/>
        <w:spacing w:after="0" w:line="251" w:lineRule="auto"/>
        <w:rPr>
          <w:sz w:val="20"/>
          <w:szCs w:val="20"/>
          <w:color w:val="auto"/>
        </w:rPr>
      </w:pPr>
      <w:r>
        <w:rPr>
          <w:rFonts w:ascii="Arial" w:cs="Arial" w:eastAsia="Arial" w:hAnsi="Arial"/>
          <w:sz w:val="15"/>
          <w:szCs w:val="15"/>
          <w:color w:val="auto"/>
        </w:rPr>
        <w:t>Our primary source of cash is from the sale of our software and related services. Our primary use of cash is payment of our operating costs, which consist primarily of employee-related expenses, such as compensation and benefits, as well as general operating expenses for marketing, facilities, and overhead costs. Long -term cash requirements for items other than normal operating expenses are anticipated for the following: the acquisition of businesses, software products, or technologies complementary to our business; repayment of debt; common stock repurchases; and capital expenditures, including the purchase and implementation of internal-use software applications.</w:t>
      </w:r>
    </w:p>
    <w:p>
      <w:pPr>
        <w:spacing w:after="0" w:line="199" w:lineRule="exact"/>
        <w:rPr>
          <w:sz w:val="20"/>
          <w:szCs w:val="20"/>
          <w:color w:val="auto"/>
        </w:rPr>
      </w:pPr>
    </w:p>
    <w:p>
      <w:pPr>
        <w:ind w:right="520" w:firstLine="351"/>
        <w:spacing w:after="0" w:line="271" w:lineRule="auto"/>
        <w:rPr>
          <w:sz w:val="20"/>
          <w:szCs w:val="20"/>
          <w:color w:val="auto"/>
        </w:rPr>
      </w:pPr>
      <w:r>
        <w:rPr>
          <w:rFonts w:ascii="Arial" w:cs="Arial" w:eastAsia="Arial" w:hAnsi="Arial"/>
          <w:sz w:val="15"/>
          <w:szCs w:val="15"/>
          <w:color w:val="auto"/>
        </w:rPr>
        <w:t>At April 30, 2023, our principal sources of liquidity were cash, cash equivalents, and marketable securities totaling $2.32 billion and net accounts receivable of $331 million.</w:t>
      </w:r>
    </w:p>
    <w:p>
      <w:pPr>
        <w:spacing w:after="0" w:line="185" w:lineRule="exact"/>
        <w:rPr>
          <w:sz w:val="20"/>
          <w:szCs w:val="20"/>
          <w:color w:val="auto"/>
        </w:rPr>
      </w:pPr>
    </w:p>
    <w:p>
      <w:pPr>
        <w:ind w:right="20" w:firstLine="351"/>
        <w:spacing w:after="0" w:line="233" w:lineRule="auto"/>
        <w:rPr>
          <w:sz w:val="20"/>
          <w:szCs w:val="20"/>
          <w:color w:val="auto"/>
        </w:rPr>
      </w:pPr>
      <w:r>
        <w:rPr>
          <w:rFonts w:ascii="Arial" w:cs="Arial" w:eastAsia="Arial" w:hAnsi="Arial"/>
          <w:sz w:val="15"/>
          <w:szCs w:val="15"/>
          <w:color w:val="auto"/>
        </w:rPr>
        <w:t>In November 2022, Autodesk entered into an amended and restated credit agreement (“Credit Agreement”) by and among Autodesk, the lenders party thereto, and Citibank, N.A., as agent, that provides for a revolving credit facility in the aggregate principal amount of $1.5 billion with an option to be increased up to $2.0 billion. The revolving credit facility is available for working capital or other business needs. The maturity date on the Credit Agreement is September 30, 2026. At April 30, 2023, Autodesk had no outstanding borrowings under the Credit Agreement. Additionally, as of June 1, 2023, we have no amounts outstanding under the Credit Agreement. See Part I, Item 1, “Financial Statements,” Note 13, “Borrowing Arrangements,” in the Notes to Condensed Consolidated Financial Statements for further discussion on our covenant requirements and recent amendments to the Credit Agreement. If we are unable to remain in compliance with the covenants under the Credit Agreement, we will not be able to draw on our revolving credit facility.</w:t>
      </w:r>
    </w:p>
    <w:p>
      <w:pPr>
        <w:spacing w:after="0" w:line="199" w:lineRule="exact"/>
        <w:rPr>
          <w:sz w:val="20"/>
          <w:szCs w:val="20"/>
          <w:color w:val="auto"/>
        </w:rPr>
      </w:pPr>
    </w:p>
    <w:p>
      <w:pPr>
        <w:ind w:left="360"/>
        <w:spacing w:after="0"/>
        <w:rPr>
          <w:sz w:val="20"/>
          <w:szCs w:val="20"/>
          <w:color w:val="auto"/>
        </w:rPr>
      </w:pPr>
      <w:r>
        <w:rPr>
          <w:rFonts w:ascii="Arial" w:cs="Arial" w:eastAsia="Arial" w:hAnsi="Arial"/>
          <w:sz w:val="15"/>
          <w:szCs w:val="15"/>
          <w:color w:val="auto"/>
        </w:rPr>
        <w:t>As of April 30, 2023, we have $2.30 billion aggregate principal amount of notes outstanding. See Part I, Item 1,</w:t>
      </w:r>
    </w:p>
    <w:p>
      <w:pPr>
        <w:spacing w:after="0" w:line="200" w:lineRule="exact"/>
        <w:rPr>
          <w:sz w:val="20"/>
          <w:szCs w:val="20"/>
          <w:color w:val="auto"/>
        </w:rPr>
      </w:pPr>
    </w:p>
    <w:p>
      <w:pPr>
        <w:spacing w:after="0" w:line="284"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24" w:right="680" w:bottom="1440" w:gutter="0" w:footer="0" w:header="0"/>
        </w:sectPr>
      </w:pPr>
    </w:p>
    <w:bookmarkStart w:id="44" w:name="page45"/>
    <w:bookmarkEnd w:id="44"/>
    <w:p>
      <w:pPr>
        <w:spacing w:after="0"/>
        <w:rPr>
          <w:sz w:val="20"/>
          <w:szCs w:val="20"/>
          <w:color w:val="auto"/>
        </w:rPr>
      </w:pPr>
      <w:r>
        <w:rPr>
          <w:rFonts w:ascii="Arial" w:cs="Arial" w:eastAsia="Arial" w:hAnsi="Arial"/>
          <w:sz w:val="15"/>
          <w:szCs w:val="15"/>
          <w:color w:val="auto"/>
        </w:rPr>
        <w:t>“Financial Statements,” Note 13, “Borrowing Arrangements,” in the Notes to Condensed Consolidated Financial Statements for further discussion.</w:t>
      </w:r>
    </w:p>
    <w:p>
      <w:pPr>
        <w:spacing w:after="0" w:line="214" w:lineRule="exact"/>
        <w:rPr>
          <w:sz w:val="20"/>
          <w:szCs w:val="20"/>
          <w:color w:val="auto"/>
        </w:rPr>
      </w:pPr>
    </w:p>
    <w:p>
      <w:pPr>
        <w:jc w:val="both"/>
        <w:ind w:right="140" w:firstLine="351"/>
        <w:spacing w:after="0" w:line="257" w:lineRule="auto"/>
        <w:rPr>
          <w:sz w:val="20"/>
          <w:szCs w:val="20"/>
          <w:color w:val="auto"/>
        </w:rPr>
      </w:pPr>
      <w:r>
        <w:rPr>
          <w:rFonts w:ascii="Arial" w:cs="Arial" w:eastAsia="Arial" w:hAnsi="Arial"/>
          <w:sz w:val="15"/>
          <w:szCs w:val="15"/>
          <w:color w:val="auto"/>
        </w:rPr>
        <w:t>Our cash and cash equivalents are held by diversified financial institutions globally. Our primary commercial banking relationship is with Citigroup and its global affiliates. In addition, Citibank N.A., an affiliate of Citigroup, is one of the lead lenders and agent in the syndicate of our $1.5 billion revolving credit facility.</w:t>
      </w:r>
    </w:p>
    <w:p>
      <w:pPr>
        <w:spacing w:after="0" w:line="196"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Our cash and cash equivalents balances are concentrated in a few locations around the world, with substantial amounts held outside of the United States. As of April 30, 2023, approximately 75% of our total cash or cash equivalents are located in foreign jurisdictions and that percentage will fluctuate subject to business needs. There are several factors that can impact our ability to utilize foreign cash balances, such as foreign exchange restrictions, foreign regulatory restrictions, or adverse tax costs. As a result, earnings in foreign jurisdictions are generally available for distribution to the United States with little to no incremental U.S. taxes. We regularly review our capital structure and consider a variety of potential financing alternatives and planning strategies to ensure we have the proper liquidity available in the locations in which it is needed. We expect to meet our liquidity needs through or in combination of current cash balances, ongoing cash flows, and external borrowings.</w:t>
      </w:r>
    </w:p>
    <w:p>
      <w:pPr>
        <w:spacing w:after="0" w:line="200" w:lineRule="exact"/>
        <w:rPr>
          <w:sz w:val="20"/>
          <w:szCs w:val="20"/>
          <w:color w:val="auto"/>
        </w:rPr>
      </w:pPr>
    </w:p>
    <w:p>
      <w:pPr>
        <w:ind w:firstLine="351"/>
        <w:spacing w:after="0" w:line="253" w:lineRule="auto"/>
        <w:rPr>
          <w:sz w:val="20"/>
          <w:szCs w:val="20"/>
          <w:color w:val="auto"/>
        </w:rPr>
      </w:pPr>
      <w:r>
        <w:rPr>
          <w:rFonts w:ascii="Arial" w:cs="Arial" w:eastAsia="Arial" w:hAnsi="Arial"/>
          <w:sz w:val="15"/>
          <w:szCs w:val="15"/>
          <w:color w:val="auto"/>
        </w:rPr>
        <w:t>Cash from operations could also be affected by various risks and uncertainties, including, but not limited to, the risks detailed in Part II, Item 1A titled “Risk Factors.” Based on our current business plan and revenue prospects, we believe that our existing cash and cash equivalents, our anticipated cash flows from operations, and our available revolving credit facility will be sufficient to meet our working capital and operating resource expenditure requirements for at least the next 12 months.</w:t>
      </w:r>
    </w:p>
    <w:p>
      <w:pPr>
        <w:spacing w:after="0" w:line="198" w:lineRule="exact"/>
        <w:rPr>
          <w:sz w:val="20"/>
          <w:szCs w:val="20"/>
          <w:color w:val="auto"/>
        </w:rPr>
      </w:pPr>
    </w:p>
    <w:p>
      <w:pPr>
        <w:jc w:val="both"/>
        <w:ind w:right="100" w:firstLine="351"/>
        <w:spacing w:after="0" w:line="257" w:lineRule="auto"/>
        <w:rPr>
          <w:sz w:val="20"/>
          <w:szCs w:val="20"/>
          <w:color w:val="auto"/>
        </w:rPr>
      </w:pPr>
      <w:r>
        <w:rPr>
          <w:rFonts w:ascii="Arial" w:cs="Arial" w:eastAsia="Arial" w:hAnsi="Arial"/>
          <w:sz w:val="15"/>
          <w:szCs w:val="15"/>
          <w:color w:val="auto"/>
        </w:rPr>
        <w:t>Our revenue, earnings, cash flows, receivables, and payables are subject to fluctuations due to changes in foreign currency exchange rates, for which we have put in place foreign currency contracts as part of our risk management strategy. See Part I, Item 3, “Quantitative and Qualitative Disclosures About Market Risk” for further discussion.</w:t>
      </w:r>
    </w:p>
    <w:p>
      <w:pPr>
        <w:spacing w:after="0" w:line="70" w:lineRule="exact"/>
        <w:rPr>
          <w:sz w:val="20"/>
          <w:szCs w:val="20"/>
          <w:color w:val="auto"/>
        </w:rPr>
      </w:pPr>
    </w:p>
    <w:tbl>
      <w:tblPr>
        <w:tblLayout w:type="fixed"/>
        <w:tblInd w:w="0" w:type="dxa"/>
        <w:tblCellMar>
          <w:top w:w="0" w:type="dxa"/>
          <w:left w:w="0" w:type="dxa"/>
          <w:bottom w:w="0" w:type="dxa"/>
          <w:right w:w="0" w:type="dxa"/>
        </w:tblCellMar>
      </w:tblPr>
      <w:tr>
        <w:trPr>
          <w:trHeight w:val="179"/>
        </w:trPr>
        <w:tc>
          <w:tcPr>
            <w:tcW w:w="8040" w:type="dxa"/>
            <w:vAlign w:val="bottom"/>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2280" w:type="dxa"/>
            <w:vAlign w:val="bottom"/>
            <w:tcBorders>
              <w:bottom w:val="single" w:sz="8" w:color="auto"/>
            </w:tcBorders>
            <w:gridSpan w:val="4"/>
          </w:tcPr>
          <w:p>
            <w:pPr>
              <w:jc w:val="right"/>
              <w:ind w:right="271"/>
              <w:spacing w:after="0"/>
              <w:rPr>
                <w:sz w:val="20"/>
                <w:szCs w:val="20"/>
                <w:color w:val="auto"/>
              </w:rPr>
            </w:pPr>
            <w:r>
              <w:rPr>
                <w:rFonts w:ascii="Arial" w:cs="Arial" w:eastAsia="Arial" w:hAnsi="Arial"/>
                <w:sz w:val="13"/>
                <w:szCs w:val="13"/>
                <w:b w:val="1"/>
                <w:bCs w:val="1"/>
                <w:color w:val="auto"/>
              </w:rPr>
              <w:t>Three Months Ended April 30,</w:t>
            </w:r>
          </w:p>
        </w:tc>
      </w:tr>
      <w:tr>
        <w:trPr>
          <w:trHeight w:val="167"/>
        </w:trPr>
        <w:tc>
          <w:tcPr>
            <w:tcW w:w="8040" w:type="dxa"/>
            <w:vAlign w:val="bottom"/>
            <w:tcBorders>
              <w:bottom w:val="single" w:sz="8" w:color="CCEEFF"/>
            </w:tcBorders>
          </w:tcPr>
          <w:p>
            <w:pPr>
              <w:ind w:left="20"/>
              <w:spacing w:after="0"/>
              <w:rPr>
                <w:sz w:val="20"/>
                <w:szCs w:val="20"/>
                <w:color w:val="auto"/>
              </w:rPr>
            </w:pPr>
            <w:r>
              <w:rPr>
                <w:rFonts w:ascii="Arial" w:cs="Arial" w:eastAsia="Arial" w:hAnsi="Arial"/>
                <w:sz w:val="13"/>
                <w:szCs w:val="13"/>
                <w:i w:val="1"/>
                <w:iCs w:val="1"/>
                <w:color w:val="auto"/>
              </w:rPr>
              <w:t>(in millions)</w:t>
            </w:r>
          </w:p>
        </w:tc>
        <w:tc>
          <w:tcPr>
            <w:tcW w:w="22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jc w:val="right"/>
              <w:ind w:right="392"/>
              <w:spacing w:after="0"/>
              <w:rPr>
                <w:sz w:val="20"/>
                <w:szCs w:val="20"/>
                <w:color w:val="auto"/>
              </w:rPr>
            </w:pPr>
            <w:r>
              <w:rPr>
                <w:rFonts w:ascii="Arial" w:cs="Arial" w:eastAsia="Arial" w:hAnsi="Arial"/>
                <w:sz w:val="13"/>
                <w:szCs w:val="13"/>
                <w:b w:val="1"/>
                <w:bCs w:val="1"/>
                <w:color w:val="auto"/>
              </w:rPr>
              <w:t>2023</w:t>
            </w:r>
          </w:p>
        </w:tc>
        <w:tc>
          <w:tcPr>
            <w:tcW w:w="100" w:type="dxa"/>
            <w:vAlign w:val="bottom"/>
            <w:tcBorders>
              <w:bottom w:val="single" w:sz="8" w:color="CCEEFF"/>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920" w:type="dxa"/>
            <w:vAlign w:val="bottom"/>
            <w:tcBorders>
              <w:bottom w:val="single" w:sz="8" w:color="auto"/>
            </w:tcBorders>
          </w:tcPr>
          <w:p>
            <w:pPr>
              <w:jc w:val="right"/>
              <w:ind w:right="391"/>
              <w:spacing w:after="0"/>
              <w:rPr>
                <w:sz w:val="20"/>
                <w:szCs w:val="20"/>
                <w:color w:val="auto"/>
              </w:rPr>
            </w:pPr>
            <w:r>
              <w:rPr>
                <w:rFonts w:ascii="Arial" w:cs="Arial" w:eastAsia="Arial" w:hAnsi="Arial"/>
                <w:sz w:val="13"/>
                <w:szCs w:val="13"/>
                <w:b w:val="1"/>
                <w:bCs w:val="1"/>
                <w:color w:val="auto"/>
              </w:rPr>
              <w:t>2022</w:t>
            </w:r>
          </w:p>
        </w:tc>
      </w:tr>
      <w:tr>
        <w:trPr>
          <w:trHeight w:val="179"/>
        </w:trPr>
        <w:tc>
          <w:tcPr>
            <w:tcW w:w="804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cash provided by operating activities</w:t>
            </w:r>
          </w:p>
        </w:tc>
        <w:tc>
          <w:tcPr>
            <w:tcW w:w="220" w:type="dxa"/>
            <w:vAlign w:val="bottom"/>
            <w:shd w:val="clear" w:color="auto" w:fill="CCEEFF"/>
          </w:tcPr>
          <w:p>
            <w:pPr>
              <w:jc w:val="right"/>
              <w:ind w:right="5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center"/>
              <w:ind w:left="572"/>
              <w:spacing w:after="0"/>
              <w:rPr>
                <w:sz w:val="20"/>
                <w:szCs w:val="20"/>
                <w:color w:val="auto"/>
              </w:rPr>
            </w:pPr>
            <w:r>
              <w:rPr>
                <w:rFonts w:ascii="Arial" w:cs="Arial" w:eastAsia="Arial" w:hAnsi="Arial"/>
                <w:sz w:val="14"/>
                <w:szCs w:val="14"/>
                <w:color w:val="auto"/>
                <w:w w:val="94"/>
              </w:rPr>
              <w:t>723</w:t>
            </w:r>
          </w:p>
        </w:tc>
        <w:tc>
          <w:tcPr>
            <w:tcW w:w="38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434</w:t>
            </w:r>
          </w:p>
        </w:tc>
      </w:tr>
      <w:tr>
        <w:trPr>
          <w:trHeight w:val="185"/>
        </w:trPr>
        <w:tc>
          <w:tcPr>
            <w:tcW w:w="8040" w:type="dxa"/>
            <w:vAlign w:val="bottom"/>
          </w:tcPr>
          <w:p>
            <w:pPr>
              <w:ind w:left="20"/>
              <w:spacing w:after="0"/>
              <w:rPr>
                <w:sz w:val="20"/>
                <w:szCs w:val="20"/>
                <w:color w:val="auto"/>
              </w:rPr>
            </w:pPr>
            <w:r>
              <w:rPr>
                <w:rFonts w:ascii="Arial" w:cs="Arial" w:eastAsia="Arial" w:hAnsi="Arial"/>
                <w:sz w:val="14"/>
                <w:szCs w:val="14"/>
                <w:color w:val="auto"/>
              </w:rPr>
              <w:t>Net cash (used in) provided by investing activities</w:t>
            </w:r>
          </w:p>
        </w:tc>
        <w:tc>
          <w:tcPr>
            <w:tcW w:w="220" w:type="dxa"/>
            <w:vAlign w:val="bottom"/>
          </w:tcPr>
          <w:p>
            <w:pPr>
              <w:spacing w:after="0"/>
              <w:rPr>
                <w:sz w:val="16"/>
                <w:szCs w:val="16"/>
                <w:color w:val="auto"/>
              </w:rPr>
            </w:pPr>
          </w:p>
        </w:tc>
        <w:tc>
          <w:tcPr>
            <w:tcW w:w="980" w:type="dxa"/>
            <w:vAlign w:val="bottom"/>
          </w:tcPr>
          <w:p>
            <w:pPr>
              <w:jc w:val="center"/>
              <w:ind w:left="552"/>
              <w:spacing w:after="0"/>
              <w:rPr>
                <w:sz w:val="20"/>
                <w:szCs w:val="20"/>
                <w:color w:val="auto"/>
              </w:rPr>
            </w:pPr>
            <w:r>
              <w:rPr>
                <w:rFonts w:ascii="Arial" w:cs="Arial" w:eastAsia="Arial" w:hAnsi="Arial"/>
                <w:sz w:val="14"/>
                <w:szCs w:val="14"/>
                <w:color w:val="auto"/>
                <w:w w:val="97"/>
              </w:rPr>
              <w:t>(230)</w:t>
            </w:r>
          </w:p>
        </w:tc>
        <w:tc>
          <w:tcPr>
            <w:tcW w:w="10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920" w:type="dxa"/>
            <w:vAlign w:val="bottom"/>
          </w:tcPr>
          <w:p>
            <w:pPr>
              <w:jc w:val="right"/>
              <w:spacing w:after="0"/>
              <w:rPr>
                <w:sz w:val="20"/>
                <w:szCs w:val="20"/>
                <w:color w:val="auto"/>
              </w:rPr>
            </w:pPr>
            <w:r>
              <w:rPr>
                <w:rFonts w:ascii="Arial" w:cs="Arial" w:eastAsia="Arial" w:hAnsi="Arial"/>
                <w:sz w:val="14"/>
                <w:szCs w:val="14"/>
                <w:color w:val="auto"/>
              </w:rPr>
              <w:t>31</w:t>
            </w:r>
          </w:p>
        </w:tc>
      </w:tr>
      <w:tr>
        <w:trPr>
          <w:trHeight w:val="190"/>
        </w:trPr>
        <w:tc>
          <w:tcPr>
            <w:tcW w:w="8040" w:type="dxa"/>
            <w:vAlign w:val="bottom"/>
            <w:shd w:val="clear" w:color="auto" w:fill="CCEEFF"/>
          </w:tcPr>
          <w:p>
            <w:pPr>
              <w:ind w:left="20"/>
              <w:spacing w:after="0"/>
              <w:rPr>
                <w:sz w:val="20"/>
                <w:szCs w:val="20"/>
                <w:color w:val="auto"/>
              </w:rPr>
            </w:pPr>
            <w:r>
              <w:rPr>
                <w:rFonts w:ascii="Arial" w:cs="Arial" w:eastAsia="Arial" w:hAnsi="Arial"/>
                <w:sz w:val="14"/>
                <w:szCs w:val="14"/>
                <w:color w:val="auto"/>
              </w:rPr>
              <w:t>Net cash used in financing activities</w:t>
            </w:r>
          </w:p>
        </w:tc>
        <w:tc>
          <w:tcPr>
            <w:tcW w:w="220" w:type="dxa"/>
            <w:vAlign w:val="bottom"/>
            <w:shd w:val="clear" w:color="auto" w:fill="CCEEFF"/>
          </w:tcPr>
          <w:p>
            <w:pPr>
              <w:spacing w:after="0"/>
              <w:rPr>
                <w:sz w:val="16"/>
                <w:szCs w:val="16"/>
                <w:color w:val="auto"/>
              </w:rPr>
            </w:pPr>
          </w:p>
        </w:tc>
        <w:tc>
          <w:tcPr>
            <w:tcW w:w="980" w:type="dxa"/>
            <w:vAlign w:val="bottom"/>
            <w:shd w:val="clear" w:color="auto" w:fill="CCEEFF"/>
          </w:tcPr>
          <w:p>
            <w:pPr>
              <w:jc w:val="center"/>
              <w:ind w:left="552"/>
              <w:spacing w:after="0"/>
              <w:rPr>
                <w:sz w:val="20"/>
                <w:szCs w:val="20"/>
                <w:color w:val="auto"/>
              </w:rPr>
            </w:pPr>
            <w:r>
              <w:rPr>
                <w:rFonts w:ascii="Arial" w:cs="Arial" w:eastAsia="Arial" w:hAnsi="Arial"/>
                <w:sz w:val="14"/>
                <w:szCs w:val="14"/>
                <w:color w:val="auto"/>
                <w:w w:val="97"/>
              </w:rPr>
              <w:t>(523)</w:t>
            </w:r>
          </w:p>
        </w:tc>
        <w:tc>
          <w:tcPr>
            <w:tcW w:w="100" w:type="dxa"/>
            <w:vAlign w:val="bottom"/>
            <w:shd w:val="clear" w:color="auto" w:fill="CCEEFF"/>
          </w:tcPr>
          <w:p>
            <w:pPr>
              <w:spacing w:after="0"/>
              <w:rPr>
                <w:sz w:val="16"/>
                <w:szCs w:val="16"/>
                <w:color w:val="auto"/>
              </w:rPr>
            </w:pPr>
          </w:p>
        </w:tc>
        <w:tc>
          <w:tcPr>
            <w:tcW w:w="280" w:type="dxa"/>
            <w:vAlign w:val="bottom"/>
            <w:shd w:val="clear" w:color="auto" w:fill="CCEEFF"/>
          </w:tcPr>
          <w:p>
            <w:pPr>
              <w:spacing w:after="0"/>
              <w:rPr>
                <w:sz w:val="16"/>
                <w:szCs w:val="16"/>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(460)</w:t>
            </w:r>
          </w:p>
        </w:tc>
      </w:tr>
    </w:tbl>
    <w:p>
      <w:pPr>
        <w:spacing w:after="0" w:line="286" w:lineRule="exact"/>
        <w:rPr>
          <w:sz w:val="20"/>
          <w:szCs w:val="20"/>
          <w:color w:val="auto"/>
        </w:rPr>
      </w:pPr>
    </w:p>
    <w:p>
      <w:pPr>
        <w:ind w:right="20" w:firstLine="351"/>
        <w:spacing w:after="0" w:line="249" w:lineRule="auto"/>
        <w:rPr>
          <w:sz w:val="20"/>
          <w:szCs w:val="20"/>
          <w:color w:val="auto"/>
        </w:rPr>
      </w:pPr>
      <w:r>
        <w:rPr>
          <w:rFonts w:ascii="Arial" w:cs="Arial" w:eastAsia="Arial" w:hAnsi="Arial"/>
          <w:sz w:val="15"/>
          <w:szCs w:val="15"/>
          <w:color w:val="auto"/>
        </w:rPr>
        <w:t>Net cash provided by operating activities of $723 million for the three months ended April 30, 2023, primarily consisted of $161 million of our net income adjusted for $157 million non-cash items such as stock-based compensation expense, and depreciation, amortization, and accretion expense, and deferred income tax. Cash provided by working capital increased due to the change in accounts receivable of $630 million due to the seasonality of our billings in the fourth fiscal quarter and timing of cash collections from customers offset in part by the change in accounts payable and other liabilities of $168 million primarily due to the timing of payments related to employee compensation and related costs and a decrease in deferred revenue of $98 million due to the timing of our billing installments and seasonality of billings in the fourth fiscal quarter .</w:t>
      </w:r>
    </w:p>
    <w:p>
      <w:pPr>
        <w:spacing w:after="0" w:line="203" w:lineRule="exact"/>
        <w:rPr>
          <w:sz w:val="20"/>
          <w:szCs w:val="20"/>
          <w:color w:val="auto"/>
        </w:rPr>
      </w:pPr>
    </w:p>
    <w:p>
      <w:pPr>
        <w:ind w:right="20" w:firstLine="351"/>
        <w:spacing w:after="0" w:line="251" w:lineRule="auto"/>
        <w:rPr>
          <w:sz w:val="20"/>
          <w:szCs w:val="20"/>
          <w:color w:val="auto"/>
        </w:rPr>
      </w:pPr>
      <w:r>
        <w:rPr>
          <w:rFonts w:ascii="Arial" w:cs="Arial" w:eastAsia="Arial" w:hAnsi="Arial"/>
          <w:sz w:val="15"/>
          <w:szCs w:val="15"/>
          <w:color w:val="auto"/>
        </w:rPr>
        <w:t>Net cash provided by operating activities of $434 million for the three months ended April 30, 2022, primarily consisted of $146 million of our net income adjusted for $197 million non-cash items such as stock-based compensation expense, and depreciation, amortization, and accretion expense, lease-related impairment charges, and deferred income tax. The increase in cash provided by working capital was primarily due to a decrease in accounts receivable of $332 million due to the seasonality of our billings in the fourth fiscal quarter and timing of cash collections from customers offset in part by a decrease in accounts payable and other liabilities of $218 million due to the timing of payments related to employee compensation and related costs.</w:t>
      </w:r>
    </w:p>
    <w:p>
      <w:pPr>
        <w:spacing w:after="0" w:line="199" w:lineRule="exact"/>
        <w:rPr>
          <w:sz w:val="20"/>
          <w:szCs w:val="20"/>
          <w:color w:val="auto"/>
        </w:rPr>
      </w:pPr>
    </w:p>
    <w:p>
      <w:pPr>
        <w:ind w:right="40" w:firstLine="351"/>
        <w:spacing w:after="0" w:line="257" w:lineRule="auto"/>
        <w:rPr>
          <w:sz w:val="20"/>
          <w:szCs w:val="20"/>
          <w:color w:val="auto"/>
        </w:rPr>
      </w:pPr>
      <w:r>
        <w:rPr>
          <w:rFonts w:ascii="Arial" w:cs="Arial" w:eastAsia="Arial" w:hAnsi="Arial"/>
          <w:sz w:val="15"/>
          <w:szCs w:val="15"/>
          <w:color w:val="auto"/>
        </w:rPr>
        <w:t>Net cash used in investing activities was $230 million for the three months ended April 30, 2023, primarily due to purchases of marketable securities partially offset by the sales and maturities of marketable securities. Net cash provided by investing activities was $31 million for the three months ended April 30, 2022, primarily due to the sales and maturities of marketable securities partially offset by business combinations, net of cash acquired.</w:t>
      </w:r>
    </w:p>
    <w:p>
      <w:pPr>
        <w:spacing w:after="0" w:line="196" w:lineRule="exact"/>
        <w:rPr>
          <w:sz w:val="20"/>
          <w:szCs w:val="20"/>
          <w:color w:val="auto"/>
        </w:rPr>
      </w:pPr>
    </w:p>
    <w:p>
      <w:pPr>
        <w:ind w:right="120" w:firstLine="351"/>
        <w:spacing w:after="0" w:line="271" w:lineRule="auto"/>
        <w:rPr>
          <w:sz w:val="20"/>
          <w:szCs w:val="20"/>
          <w:color w:val="auto"/>
        </w:rPr>
      </w:pPr>
      <w:r>
        <w:rPr>
          <w:rFonts w:ascii="Arial" w:cs="Arial" w:eastAsia="Arial" w:hAnsi="Arial"/>
          <w:sz w:val="15"/>
          <w:szCs w:val="15"/>
          <w:color w:val="auto"/>
        </w:rPr>
        <w:t>Net cash used in financing activities was $523 million and $460 million for the three months ended April 30, 2023 and 2022, respectively, primarily due to repurchases of common stock.</w:t>
      </w: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0" w:right="680" w:bottom="1440" w:gutter="0" w:footer="0" w:header="0"/>
        </w:sectPr>
      </w:pPr>
    </w:p>
    <w:bookmarkStart w:id="45" w:name="page46"/>
    <w:bookmarkEnd w:id="45"/>
    <w:p>
      <w:pPr>
        <w:spacing w:after="0"/>
        <w:rPr>
          <w:sz w:val="20"/>
          <w:szCs w:val="20"/>
          <w:color w:val="auto"/>
        </w:rPr>
      </w:pPr>
      <w:r>
        <w:rPr>
          <w:rFonts w:ascii="Arial" w:cs="Arial" w:eastAsia="Arial" w:hAnsi="Arial"/>
          <w:sz w:val="15"/>
          <w:szCs w:val="15"/>
          <w:b w:val="1"/>
          <w:bCs w:val="1"/>
          <w:color w:val="auto"/>
        </w:rPr>
        <w:t>Issuer Purchases of Equity Securities</w:t>
      </w:r>
    </w:p>
    <w:p>
      <w:pPr>
        <w:spacing w:after="0" w:line="234" w:lineRule="exact"/>
        <w:rPr>
          <w:sz w:val="20"/>
          <w:szCs w:val="20"/>
          <w:color w:val="auto"/>
        </w:rPr>
      </w:pPr>
    </w:p>
    <w:p>
      <w:pPr>
        <w:ind w:right="40" w:firstLine="351"/>
        <w:spacing w:after="0" w:line="249" w:lineRule="auto"/>
        <w:rPr>
          <w:sz w:val="20"/>
          <w:szCs w:val="20"/>
          <w:color w:val="auto"/>
        </w:rPr>
      </w:pPr>
      <w:r>
        <w:rPr>
          <w:rFonts w:ascii="Arial" w:cs="Arial" w:eastAsia="Arial" w:hAnsi="Arial"/>
          <w:sz w:val="15"/>
          <w:szCs w:val="15"/>
          <w:color w:val="auto"/>
        </w:rPr>
        <w:t>Autodesk's stock repurchase programs provide Autodesk with the ability to offset the dilution from the issuance of stock under our employee stock plans and reduce shares outstanding over time, and has the effect of returning excess cash generated from our business to stockholders. Under the share repurchase programs, Autodesk may repurchase shares from time to time in open market transactions, privately negotiated transactions, accelerated share repurchase programs, tender offers, or by other means. The share repurchase programs do not have an expiration date and the pace and timing of repurchases will depend on factors such as cash generation from operations, available surplus, the volume of employee stock plan activity, remaining shares or dollar amount available in the authorized pool, cash requirements for acquisitions, cash requirements to retire outstanding debt, economic and market conditions, stock price, and legal and regulatory requirements.</w:t>
      </w:r>
    </w:p>
    <w:p>
      <w:pPr>
        <w:spacing w:after="0" w:line="200" w:lineRule="exact"/>
        <w:rPr>
          <w:sz w:val="20"/>
          <w:szCs w:val="20"/>
          <w:color w:val="auto"/>
        </w:rPr>
      </w:pPr>
    </w:p>
    <w:p>
      <w:pPr>
        <w:ind w:right="240" w:firstLine="351"/>
        <w:spacing w:after="0" w:line="271" w:lineRule="auto"/>
        <w:rPr>
          <w:sz w:val="20"/>
          <w:szCs w:val="20"/>
          <w:color w:val="auto"/>
        </w:rPr>
      </w:pPr>
      <w:r>
        <w:rPr>
          <w:rFonts w:ascii="Arial" w:cs="Arial" w:eastAsia="Arial" w:hAnsi="Arial"/>
          <w:sz w:val="15"/>
          <w:szCs w:val="15"/>
          <w:color w:val="auto"/>
        </w:rPr>
        <w:t>The following table provides information about the repurchase of common stock in open-market transactions during the three months ended April 30, 2023:</w:t>
      </w:r>
    </w:p>
    <w:p>
      <w:pPr>
        <w:spacing w:after="0" w:line="136"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2720" w:type="dxa"/>
            <w:vAlign w:val="bottom"/>
          </w:tcPr>
          <w:p>
            <w:pPr>
              <w:spacing w:after="0"/>
              <w:rPr>
                <w:sz w:val="13"/>
                <w:szCs w:val="13"/>
                <w:color w:val="auto"/>
              </w:rPr>
            </w:pPr>
          </w:p>
        </w:tc>
        <w:tc>
          <w:tcPr>
            <w:tcW w:w="1640" w:type="dxa"/>
            <w:vAlign w:val="bottom"/>
            <w:vMerge w:val="restart"/>
          </w:tcPr>
          <w:p>
            <w:pPr>
              <w:jc w:val="right"/>
              <w:ind w:right="92"/>
              <w:spacing w:after="0"/>
              <w:rPr>
                <w:sz w:val="20"/>
                <w:szCs w:val="20"/>
                <w:color w:val="auto"/>
              </w:rPr>
            </w:pPr>
            <w:r>
              <w:rPr>
                <w:rFonts w:ascii="Arial" w:cs="Arial" w:eastAsia="Arial" w:hAnsi="Arial"/>
                <w:sz w:val="13"/>
                <w:szCs w:val="13"/>
                <w:b w:val="1"/>
                <w:bCs w:val="1"/>
                <w:color w:val="auto"/>
              </w:rPr>
              <w:t>Total Number of</w:t>
            </w:r>
          </w:p>
        </w:tc>
        <w:tc>
          <w:tcPr>
            <w:tcW w:w="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280" w:type="dxa"/>
            <w:vAlign w:val="bottom"/>
            <w:vMerge w:val="restart"/>
          </w:tcPr>
          <w:p>
            <w:pPr>
              <w:jc w:val="right"/>
              <w:ind w:right="174"/>
              <w:spacing w:after="0"/>
              <w:rPr>
                <w:sz w:val="20"/>
                <w:szCs w:val="20"/>
                <w:color w:val="auto"/>
              </w:rPr>
            </w:pPr>
            <w:r>
              <w:rPr>
                <w:rFonts w:ascii="Arial" w:cs="Arial" w:eastAsia="Arial" w:hAnsi="Arial"/>
                <w:sz w:val="13"/>
                <w:szCs w:val="13"/>
                <w:b w:val="1"/>
                <w:bCs w:val="1"/>
                <w:color w:val="auto"/>
              </w:rPr>
              <w:t>Total Number of Shares</w:t>
            </w:r>
          </w:p>
        </w:tc>
        <w:tc>
          <w:tcPr>
            <w:tcW w:w="100" w:type="dxa"/>
            <w:vAlign w:val="bottom"/>
          </w:tcPr>
          <w:p>
            <w:pPr>
              <w:spacing w:after="0"/>
              <w:rPr>
                <w:sz w:val="13"/>
                <w:szCs w:val="13"/>
                <w:color w:val="auto"/>
              </w:rPr>
            </w:pPr>
          </w:p>
        </w:tc>
        <w:tc>
          <w:tcPr>
            <w:tcW w:w="2300" w:type="dxa"/>
            <w:vAlign w:val="bottom"/>
          </w:tcPr>
          <w:p>
            <w:pPr>
              <w:jc w:val="right"/>
              <w:ind w:right="276"/>
              <w:spacing w:after="0"/>
              <w:rPr>
                <w:sz w:val="20"/>
                <w:szCs w:val="20"/>
                <w:color w:val="auto"/>
              </w:rPr>
            </w:pPr>
            <w:r>
              <w:rPr>
                <w:rFonts w:ascii="Arial" w:cs="Arial" w:eastAsia="Arial" w:hAnsi="Arial"/>
                <w:sz w:val="13"/>
                <w:szCs w:val="13"/>
                <w:b w:val="1"/>
                <w:bCs w:val="1"/>
                <w:color w:val="auto"/>
              </w:rPr>
              <w:t>Maximum Number of</w:t>
            </w:r>
          </w:p>
        </w:tc>
        <w:tc>
          <w:tcPr>
            <w:tcW w:w="0" w:type="dxa"/>
            <w:vAlign w:val="bottom"/>
          </w:tcPr>
          <w:p>
            <w:pPr>
              <w:spacing w:after="0"/>
              <w:rPr>
                <w:sz w:val="1"/>
                <w:szCs w:val="1"/>
                <w:color w:val="auto"/>
              </w:rPr>
            </w:pPr>
          </w:p>
        </w:tc>
      </w:tr>
      <w:tr>
        <w:trPr>
          <w:trHeight w:val="129"/>
        </w:trPr>
        <w:tc>
          <w:tcPr>
            <w:tcW w:w="2720" w:type="dxa"/>
            <w:vAlign w:val="bottom"/>
          </w:tcPr>
          <w:p>
            <w:pPr>
              <w:spacing w:after="0"/>
              <w:rPr>
                <w:sz w:val="11"/>
                <w:szCs w:val="11"/>
                <w:color w:val="auto"/>
              </w:rPr>
            </w:pPr>
          </w:p>
        </w:tc>
        <w:tc>
          <w:tcPr>
            <w:tcW w:w="164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1380" w:type="dxa"/>
            <w:vAlign w:val="bottom"/>
            <w:gridSpan w:val="2"/>
            <w:vMerge w:val="restart"/>
          </w:tcPr>
          <w:p>
            <w:pPr>
              <w:jc w:val="right"/>
              <w:ind w:right="10"/>
              <w:spacing w:after="0"/>
              <w:rPr>
                <w:sz w:val="20"/>
                <w:szCs w:val="20"/>
                <w:color w:val="auto"/>
              </w:rPr>
            </w:pPr>
            <w:r>
              <w:rPr>
                <w:rFonts w:ascii="Arial" w:cs="Arial" w:eastAsia="Arial" w:hAnsi="Arial"/>
                <w:sz w:val="13"/>
                <w:szCs w:val="13"/>
                <w:b w:val="1"/>
                <w:bCs w:val="1"/>
                <w:color w:val="auto"/>
              </w:rPr>
              <w:t>Average Price</w:t>
            </w:r>
          </w:p>
        </w:tc>
        <w:tc>
          <w:tcPr>
            <w:tcW w:w="80" w:type="dxa"/>
            <w:vAlign w:val="bottom"/>
          </w:tcPr>
          <w:p>
            <w:pPr>
              <w:spacing w:after="0"/>
              <w:rPr>
                <w:sz w:val="11"/>
                <w:szCs w:val="11"/>
                <w:color w:val="auto"/>
              </w:rPr>
            </w:pPr>
          </w:p>
        </w:tc>
        <w:tc>
          <w:tcPr>
            <w:tcW w:w="2280" w:type="dxa"/>
            <w:vAlign w:val="bottom"/>
            <w:vMerge w:val="continue"/>
          </w:tcPr>
          <w:p>
            <w:pPr>
              <w:spacing w:after="0"/>
              <w:rPr>
                <w:sz w:val="11"/>
                <w:szCs w:val="11"/>
                <w:color w:val="auto"/>
              </w:rPr>
            </w:pPr>
          </w:p>
        </w:tc>
        <w:tc>
          <w:tcPr>
            <w:tcW w:w="100" w:type="dxa"/>
            <w:vAlign w:val="bottom"/>
          </w:tcPr>
          <w:p>
            <w:pPr>
              <w:spacing w:after="0"/>
              <w:rPr>
                <w:sz w:val="11"/>
                <w:szCs w:val="11"/>
                <w:color w:val="auto"/>
              </w:rPr>
            </w:pPr>
          </w:p>
        </w:tc>
        <w:tc>
          <w:tcPr>
            <w:tcW w:w="2300" w:type="dxa"/>
            <w:vAlign w:val="bottom"/>
          </w:tcPr>
          <w:p>
            <w:pPr>
              <w:jc w:val="center"/>
              <w:spacing w:after="0" w:line="129" w:lineRule="exact"/>
              <w:rPr>
                <w:sz w:val="20"/>
                <w:szCs w:val="20"/>
                <w:color w:val="auto"/>
              </w:rPr>
            </w:pPr>
            <w:r>
              <w:rPr>
                <w:rFonts w:ascii="Arial" w:cs="Arial" w:eastAsia="Arial" w:hAnsi="Arial"/>
                <w:sz w:val="13"/>
                <w:szCs w:val="13"/>
                <w:b w:val="1"/>
                <w:bCs w:val="1"/>
                <w:color w:val="auto"/>
                <w:w w:val="98"/>
              </w:rPr>
              <w:t>Shares that May Yet Be</w:t>
            </w:r>
          </w:p>
        </w:tc>
        <w:tc>
          <w:tcPr>
            <w:tcW w:w="0" w:type="dxa"/>
            <w:vAlign w:val="bottom"/>
          </w:tcPr>
          <w:p>
            <w:pPr>
              <w:spacing w:after="0"/>
              <w:rPr>
                <w:sz w:val="1"/>
                <w:szCs w:val="1"/>
                <w:color w:val="auto"/>
              </w:rPr>
            </w:pPr>
          </w:p>
        </w:tc>
      </w:tr>
      <w:tr>
        <w:trPr>
          <w:trHeight w:val="129"/>
        </w:trPr>
        <w:tc>
          <w:tcPr>
            <w:tcW w:w="2720" w:type="dxa"/>
            <w:vAlign w:val="bottom"/>
            <w:vMerge w:val="restart"/>
          </w:tcPr>
          <w:p>
            <w:pPr>
              <w:ind w:left="360"/>
              <w:spacing w:after="0"/>
              <w:rPr>
                <w:sz w:val="20"/>
                <w:szCs w:val="20"/>
                <w:color w:val="auto"/>
              </w:rPr>
            </w:pPr>
            <w:r>
              <w:rPr>
                <w:rFonts w:ascii="Arial" w:cs="Arial" w:eastAsia="Arial" w:hAnsi="Arial"/>
                <w:sz w:val="13"/>
                <w:szCs w:val="13"/>
                <w:i w:val="1"/>
                <w:iCs w:val="1"/>
                <w:color w:val="auto"/>
              </w:rPr>
              <w:t>(Shares in thousands)</w:t>
            </w:r>
          </w:p>
        </w:tc>
        <w:tc>
          <w:tcPr>
            <w:tcW w:w="1640" w:type="dxa"/>
            <w:vAlign w:val="bottom"/>
          </w:tcPr>
          <w:p>
            <w:pPr>
              <w:jc w:val="right"/>
              <w:ind w:right="552"/>
              <w:spacing w:after="0" w:line="129" w:lineRule="exact"/>
              <w:rPr>
                <w:sz w:val="20"/>
                <w:szCs w:val="20"/>
                <w:color w:val="auto"/>
              </w:rPr>
            </w:pPr>
            <w:r>
              <w:rPr>
                <w:rFonts w:ascii="Arial" w:cs="Arial" w:eastAsia="Arial" w:hAnsi="Arial"/>
                <w:sz w:val="13"/>
                <w:szCs w:val="13"/>
                <w:b w:val="1"/>
                <w:bCs w:val="1"/>
                <w:color w:val="auto"/>
              </w:rPr>
              <w:t>Shares</w:t>
            </w:r>
          </w:p>
        </w:tc>
        <w:tc>
          <w:tcPr>
            <w:tcW w:w="80" w:type="dxa"/>
            <w:vAlign w:val="bottom"/>
          </w:tcPr>
          <w:p>
            <w:pPr>
              <w:spacing w:after="0"/>
              <w:rPr>
                <w:sz w:val="11"/>
                <w:szCs w:val="11"/>
                <w:color w:val="auto"/>
              </w:rPr>
            </w:pPr>
          </w:p>
        </w:tc>
        <w:tc>
          <w:tcPr>
            <w:tcW w:w="1380" w:type="dxa"/>
            <w:vAlign w:val="bottom"/>
            <w:gridSpan w:val="2"/>
            <w:vMerge w:val="continue"/>
          </w:tcPr>
          <w:p>
            <w:pPr>
              <w:spacing w:after="0"/>
              <w:rPr>
                <w:sz w:val="11"/>
                <w:szCs w:val="11"/>
                <w:color w:val="auto"/>
              </w:rPr>
            </w:pPr>
          </w:p>
        </w:tc>
        <w:tc>
          <w:tcPr>
            <w:tcW w:w="80" w:type="dxa"/>
            <w:vAlign w:val="bottom"/>
          </w:tcPr>
          <w:p>
            <w:pPr>
              <w:spacing w:after="0"/>
              <w:rPr>
                <w:sz w:val="11"/>
                <w:szCs w:val="11"/>
                <w:color w:val="auto"/>
              </w:rPr>
            </w:pPr>
          </w:p>
        </w:tc>
        <w:tc>
          <w:tcPr>
            <w:tcW w:w="2280" w:type="dxa"/>
            <w:vAlign w:val="bottom"/>
          </w:tcPr>
          <w:p>
            <w:pPr>
              <w:jc w:val="right"/>
              <w:ind w:right="154"/>
              <w:spacing w:after="0" w:line="129" w:lineRule="exact"/>
              <w:rPr>
                <w:sz w:val="20"/>
                <w:szCs w:val="20"/>
                <w:color w:val="auto"/>
              </w:rPr>
            </w:pPr>
            <w:r>
              <w:rPr>
                <w:rFonts w:ascii="Arial" w:cs="Arial" w:eastAsia="Arial" w:hAnsi="Arial"/>
                <w:sz w:val="13"/>
                <w:szCs w:val="13"/>
                <w:b w:val="1"/>
                <w:bCs w:val="1"/>
                <w:color w:val="auto"/>
              </w:rPr>
              <w:t>Purchased as Part of Publicly</w:t>
            </w:r>
          </w:p>
        </w:tc>
        <w:tc>
          <w:tcPr>
            <w:tcW w:w="100" w:type="dxa"/>
            <w:vAlign w:val="bottom"/>
          </w:tcPr>
          <w:p>
            <w:pPr>
              <w:spacing w:after="0"/>
              <w:rPr>
                <w:sz w:val="11"/>
                <w:szCs w:val="11"/>
                <w:color w:val="auto"/>
              </w:rPr>
            </w:pPr>
          </w:p>
        </w:tc>
        <w:tc>
          <w:tcPr>
            <w:tcW w:w="2300" w:type="dxa"/>
            <w:vAlign w:val="bottom"/>
          </w:tcPr>
          <w:p>
            <w:pPr>
              <w:jc w:val="center"/>
              <w:spacing w:after="0" w:line="129" w:lineRule="exact"/>
              <w:rPr>
                <w:sz w:val="20"/>
                <w:szCs w:val="20"/>
                <w:color w:val="auto"/>
              </w:rPr>
            </w:pPr>
            <w:r>
              <w:rPr>
                <w:rFonts w:ascii="Arial" w:cs="Arial" w:eastAsia="Arial" w:hAnsi="Arial"/>
                <w:sz w:val="13"/>
                <w:szCs w:val="13"/>
                <w:b w:val="1"/>
                <w:bCs w:val="1"/>
                <w:color w:val="auto"/>
                <w:w w:val="99"/>
              </w:rPr>
              <w:t>Purchased Under the Plans or</w:t>
            </w:r>
          </w:p>
        </w:tc>
        <w:tc>
          <w:tcPr>
            <w:tcW w:w="0" w:type="dxa"/>
            <w:vAlign w:val="bottom"/>
          </w:tcPr>
          <w:p>
            <w:pPr>
              <w:spacing w:after="0"/>
              <w:rPr>
                <w:sz w:val="1"/>
                <w:szCs w:val="1"/>
                <w:color w:val="auto"/>
              </w:rPr>
            </w:pPr>
          </w:p>
        </w:tc>
      </w:tr>
      <w:tr>
        <w:trPr>
          <w:trHeight w:val="176"/>
        </w:trPr>
        <w:tc>
          <w:tcPr>
            <w:tcW w:w="2720" w:type="dxa"/>
            <w:vAlign w:val="bottom"/>
            <w:tcBorders>
              <w:bottom w:val="single" w:sz="8" w:color="CCEEFF"/>
            </w:tcBorders>
            <w:vMerge w:val="continue"/>
          </w:tcPr>
          <w:p>
            <w:pPr>
              <w:spacing w:after="0"/>
              <w:rPr>
                <w:sz w:val="15"/>
                <w:szCs w:val="15"/>
                <w:color w:val="auto"/>
              </w:rPr>
            </w:pPr>
          </w:p>
        </w:tc>
        <w:tc>
          <w:tcPr>
            <w:tcW w:w="1640" w:type="dxa"/>
            <w:vAlign w:val="bottom"/>
            <w:tcBorders>
              <w:bottom w:val="single" w:sz="8" w:color="auto"/>
            </w:tcBorders>
          </w:tcPr>
          <w:p>
            <w:pPr>
              <w:jc w:val="right"/>
              <w:ind w:right="432"/>
              <w:spacing w:after="0"/>
              <w:rPr>
                <w:sz w:val="20"/>
                <w:szCs w:val="20"/>
                <w:color w:val="auto"/>
              </w:rPr>
            </w:pPr>
            <w:r>
              <w:rPr>
                <w:rFonts w:ascii="Arial" w:cs="Arial" w:eastAsia="Arial" w:hAnsi="Arial"/>
                <w:sz w:val="13"/>
                <w:szCs w:val="13"/>
                <w:b w:val="1"/>
                <w:bCs w:val="1"/>
                <w:color w:val="auto"/>
              </w:rPr>
              <w:t>Purchased</w:t>
            </w:r>
          </w:p>
        </w:tc>
        <w:tc>
          <w:tcPr>
            <w:tcW w:w="80" w:type="dxa"/>
            <w:vAlign w:val="bottom"/>
            <w:tcBorders>
              <w:bottom w:val="single" w:sz="8" w:color="CCEEFF"/>
            </w:tcBorders>
          </w:tcPr>
          <w:p>
            <w:pPr>
              <w:spacing w:after="0"/>
              <w:rPr>
                <w:sz w:val="15"/>
                <w:szCs w:val="15"/>
                <w:color w:val="auto"/>
              </w:rPr>
            </w:pPr>
          </w:p>
        </w:tc>
        <w:tc>
          <w:tcPr>
            <w:tcW w:w="1380" w:type="dxa"/>
            <w:vAlign w:val="bottom"/>
            <w:tcBorders>
              <w:bottom w:val="single" w:sz="8" w:color="auto"/>
            </w:tcBorders>
            <w:gridSpan w:val="2"/>
          </w:tcPr>
          <w:p>
            <w:pPr>
              <w:jc w:val="right"/>
              <w:ind w:right="170"/>
              <w:spacing w:after="0"/>
              <w:rPr>
                <w:sz w:val="20"/>
                <w:szCs w:val="20"/>
                <w:color w:val="auto"/>
              </w:rPr>
            </w:pPr>
            <w:r>
              <w:rPr>
                <w:rFonts w:ascii="Arial" w:cs="Arial" w:eastAsia="Arial" w:hAnsi="Arial"/>
                <w:sz w:val="13"/>
                <w:szCs w:val="13"/>
                <w:b w:val="1"/>
                <w:bCs w:val="1"/>
                <w:color w:val="auto"/>
              </w:rPr>
              <w:t>Paid per Share</w:t>
            </w:r>
          </w:p>
        </w:tc>
        <w:tc>
          <w:tcPr>
            <w:tcW w:w="80" w:type="dxa"/>
            <w:vAlign w:val="bottom"/>
            <w:tcBorders>
              <w:bottom w:val="single" w:sz="8" w:color="CCEEFF"/>
            </w:tcBorders>
          </w:tcPr>
          <w:p>
            <w:pPr>
              <w:spacing w:after="0"/>
              <w:rPr>
                <w:sz w:val="15"/>
                <w:szCs w:val="15"/>
                <w:color w:val="auto"/>
              </w:rPr>
            </w:pPr>
          </w:p>
        </w:tc>
        <w:tc>
          <w:tcPr>
            <w:tcW w:w="2280" w:type="dxa"/>
            <w:vAlign w:val="bottom"/>
            <w:tcBorders>
              <w:bottom w:val="single" w:sz="8" w:color="auto"/>
            </w:tcBorders>
          </w:tcPr>
          <w:p>
            <w:pPr>
              <w:jc w:val="right"/>
              <w:ind w:right="34"/>
              <w:spacing w:after="0"/>
              <w:rPr>
                <w:sz w:val="20"/>
                <w:szCs w:val="20"/>
                <w:color w:val="auto"/>
              </w:rPr>
            </w:pPr>
            <w:r>
              <w:rPr>
                <w:rFonts w:ascii="Arial" w:cs="Arial" w:eastAsia="Arial" w:hAnsi="Arial"/>
                <w:sz w:val="13"/>
                <w:szCs w:val="13"/>
                <w:b w:val="1"/>
                <w:bCs w:val="1"/>
                <w:color w:val="auto"/>
              </w:rPr>
              <w:t>Announced Plans or Programs (1)</w:t>
            </w:r>
          </w:p>
        </w:tc>
        <w:tc>
          <w:tcPr>
            <w:tcW w:w="100" w:type="dxa"/>
            <w:vAlign w:val="bottom"/>
            <w:tcBorders>
              <w:bottom w:val="single" w:sz="8" w:color="CCEEFF"/>
            </w:tcBorders>
          </w:tcPr>
          <w:p>
            <w:pPr>
              <w:spacing w:after="0"/>
              <w:rPr>
                <w:sz w:val="15"/>
                <w:szCs w:val="15"/>
                <w:color w:val="auto"/>
              </w:rPr>
            </w:pPr>
          </w:p>
        </w:tc>
        <w:tc>
          <w:tcPr>
            <w:tcW w:w="230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99"/>
              </w:rPr>
              <w:t>Programs (2)</w:t>
            </w:r>
          </w:p>
        </w:tc>
        <w:tc>
          <w:tcPr>
            <w:tcW w:w="0" w:type="dxa"/>
            <w:vAlign w:val="bottom"/>
          </w:tcPr>
          <w:p>
            <w:pPr>
              <w:spacing w:after="0"/>
              <w:rPr>
                <w:sz w:val="1"/>
                <w:szCs w:val="1"/>
                <w:color w:val="auto"/>
              </w:rPr>
            </w:pPr>
          </w:p>
        </w:tc>
      </w:tr>
      <w:tr>
        <w:trPr>
          <w:trHeight w:val="179"/>
        </w:trPr>
        <w:tc>
          <w:tcPr>
            <w:tcW w:w="2720" w:type="dxa"/>
            <w:vAlign w:val="bottom"/>
            <w:shd w:val="clear" w:color="auto" w:fill="CCEEFF"/>
          </w:tcPr>
          <w:p>
            <w:pPr>
              <w:ind w:left="360"/>
              <w:spacing w:after="0"/>
              <w:rPr>
                <w:sz w:val="20"/>
                <w:szCs w:val="20"/>
                <w:color w:val="auto"/>
              </w:rPr>
            </w:pPr>
            <w:r>
              <w:rPr>
                <w:rFonts w:ascii="Arial" w:cs="Arial" w:eastAsia="Arial" w:hAnsi="Arial"/>
                <w:sz w:val="14"/>
                <w:szCs w:val="14"/>
                <w:color w:val="auto"/>
              </w:rPr>
              <w:t>February 1 - February 28</w:t>
            </w:r>
          </w:p>
        </w:tc>
        <w:tc>
          <w:tcPr>
            <w:tcW w:w="1640" w:type="dxa"/>
            <w:vAlign w:val="bottom"/>
            <w:shd w:val="clear" w:color="auto" w:fill="CCEEFF"/>
          </w:tcPr>
          <w:p>
            <w:pPr>
              <w:jc w:val="right"/>
              <w:ind w:right="32"/>
              <w:spacing w:after="0"/>
              <w:rPr>
                <w:sz w:val="20"/>
                <w:szCs w:val="20"/>
                <w:color w:val="auto"/>
              </w:rPr>
            </w:pPr>
            <w:r>
              <w:rPr>
                <w:rFonts w:ascii="Arial" w:cs="Arial" w:eastAsia="Arial" w:hAnsi="Arial"/>
                <w:sz w:val="14"/>
                <w:szCs w:val="14"/>
                <w:color w:val="auto"/>
              </w:rPr>
              <w:t>249</w:t>
            </w:r>
          </w:p>
        </w:tc>
        <w:tc>
          <w:tcPr>
            <w:tcW w:w="740" w:type="dxa"/>
            <w:vAlign w:val="bottom"/>
            <w:gridSpan w:val="2"/>
            <w:shd w:val="clear" w:color="auto" w:fill="CCEEFF"/>
          </w:tcPr>
          <w:p>
            <w:pPr>
              <w:jc w:val="right"/>
              <w:ind w:right="156"/>
              <w:spacing w:after="0"/>
              <w:rPr>
                <w:sz w:val="20"/>
                <w:szCs w:val="20"/>
                <w:color w:val="auto"/>
              </w:rPr>
            </w:pPr>
            <w:r>
              <w:rPr>
                <w:rFonts w:ascii="Arial" w:cs="Arial" w:eastAsia="Arial" w:hAnsi="Arial"/>
                <w:sz w:val="14"/>
                <w:szCs w:val="14"/>
                <w:color w:val="auto"/>
              </w:rPr>
              <w:t>$</w:t>
            </w: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207.11</w:t>
            </w:r>
          </w:p>
        </w:tc>
        <w:tc>
          <w:tcPr>
            <w:tcW w:w="2360" w:type="dxa"/>
            <w:vAlign w:val="bottom"/>
            <w:gridSpan w:val="2"/>
            <w:shd w:val="clear" w:color="auto" w:fill="CCEEFF"/>
          </w:tcPr>
          <w:p>
            <w:pPr>
              <w:jc w:val="right"/>
              <w:ind w:right="14"/>
              <w:spacing w:after="0"/>
              <w:rPr>
                <w:sz w:val="20"/>
                <w:szCs w:val="20"/>
                <w:color w:val="auto"/>
              </w:rPr>
            </w:pPr>
            <w:r>
              <w:rPr>
                <w:rFonts w:ascii="Arial" w:cs="Arial" w:eastAsia="Arial" w:hAnsi="Arial"/>
                <w:sz w:val="14"/>
                <w:szCs w:val="14"/>
                <w:color w:val="auto"/>
              </w:rPr>
              <w:t>249</w:t>
            </w:r>
          </w:p>
        </w:tc>
        <w:tc>
          <w:tcPr>
            <w:tcW w:w="240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2,419</w:t>
            </w:r>
          </w:p>
        </w:tc>
        <w:tc>
          <w:tcPr>
            <w:tcW w:w="0" w:type="dxa"/>
            <w:vAlign w:val="bottom"/>
          </w:tcPr>
          <w:p>
            <w:pPr>
              <w:spacing w:after="0"/>
              <w:rPr>
                <w:sz w:val="1"/>
                <w:szCs w:val="1"/>
                <w:color w:val="auto"/>
              </w:rPr>
            </w:pPr>
          </w:p>
        </w:tc>
      </w:tr>
      <w:tr>
        <w:trPr>
          <w:trHeight w:val="185"/>
        </w:trPr>
        <w:tc>
          <w:tcPr>
            <w:tcW w:w="2720" w:type="dxa"/>
            <w:vAlign w:val="bottom"/>
          </w:tcPr>
          <w:p>
            <w:pPr>
              <w:ind w:left="360"/>
              <w:spacing w:after="0"/>
              <w:rPr>
                <w:sz w:val="20"/>
                <w:szCs w:val="20"/>
                <w:color w:val="auto"/>
              </w:rPr>
            </w:pPr>
            <w:r>
              <w:rPr>
                <w:rFonts w:ascii="Arial" w:cs="Arial" w:eastAsia="Arial" w:hAnsi="Arial"/>
                <w:sz w:val="14"/>
                <w:szCs w:val="14"/>
                <w:color w:val="auto"/>
              </w:rPr>
              <w:t>March 1 - March 31</w:t>
            </w:r>
          </w:p>
        </w:tc>
        <w:tc>
          <w:tcPr>
            <w:tcW w:w="1640" w:type="dxa"/>
            <w:vAlign w:val="bottom"/>
          </w:tcPr>
          <w:p>
            <w:pPr>
              <w:jc w:val="right"/>
              <w:ind w:right="32"/>
              <w:spacing w:after="0"/>
              <w:rPr>
                <w:sz w:val="20"/>
                <w:szCs w:val="20"/>
                <w:color w:val="auto"/>
              </w:rPr>
            </w:pPr>
            <w:r>
              <w:rPr>
                <w:rFonts w:ascii="Arial" w:cs="Arial" w:eastAsia="Arial" w:hAnsi="Arial"/>
                <w:sz w:val="14"/>
                <w:szCs w:val="14"/>
                <w:color w:val="auto"/>
              </w:rPr>
              <w:t>1,239</w:t>
            </w:r>
          </w:p>
        </w:tc>
        <w:tc>
          <w:tcPr>
            <w:tcW w:w="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Arial" w:cs="Arial" w:eastAsia="Arial" w:hAnsi="Arial"/>
                <w:sz w:val="14"/>
                <w:szCs w:val="14"/>
                <w:color w:val="auto"/>
              </w:rPr>
              <w:t>200.66</w:t>
            </w:r>
          </w:p>
        </w:tc>
        <w:tc>
          <w:tcPr>
            <w:tcW w:w="2360" w:type="dxa"/>
            <w:vAlign w:val="bottom"/>
            <w:gridSpan w:val="2"/>
          </w:tcPr>
          <w:p>
            <w:pPr>
              <w:jc w:val="right"/>
              <w:ind w:right="14"/>
              <w:spacing w:after="0"/>
              <w:rPr>
                <w:sz w:val="20"/>
                <w:szCs w:val="20"/>
                <w:color w:val="auto"/>
              </w:rPr>
            </w:pPr>
            <w:r>
              <w:rPr>
                <w:rFonts w:ascii="Arial" w:cs="Arial" w:eastAsia="Arial" w:hAnsi="Arial"/>
                <w:sz w:val="14"/>
                <w:szCs w:val="14"/>
                <w:color w:val="auto"/>
              </w:rPr>
              <w:t>1,239</w:t>
            </w:r>
          </w:p>
        </w:tc>
        <w:tc>
          <w:tcPr>
            <w:tcW w:w="2400" w:type="dxa"/>
            <w:vAlign w:val="bottom"/>
            <w:gridSpan w:val="2"/>
          </w:tcPr>
          <w:p>
            <w:pPr>
              <w:jc w:val="right"/>
              <w:spacing w:after="0"/>
              <w:rPr>
                <w:sz w:val="20"/>
                <w:szCs w:val="20"/>
                <w:color w:val="auto"/>
              </w:rPr>
            </w:pPr>
            <w:r>
              <w:rPr>
                <w:rFonts w:ascii="Arial" w:cs="Arial" w:eastAsia="Arial" w:hAnsi="Arial"/>
                <w:sz w:val="14"/>
                <w:szCs w:val="14"/>
                <w:color w:val="auto"/>
              </w:rPr>
              <w:t>1,180</w:t>
            </w:r>
          </w:p>
        </w:tc>
        <w:tc>
          <w:tcPr>
            <w:tcW w:w="0" w:type="dxa"/>
            <w:vAlign w:val="bottom"/>
          </w:tcPr>
          <w:p>
            <w:pPr>
              <w:spacing w:after="0"/>
              <w:rPr>
                <w:sz w:val="1"/>
                <w:szCs w:val="1"/>
                <w:color w:val="auto"/>
              </w:rPr>
            </w:pPr>
          </w:p>
        </w:tc>
      </w:tr>
      <w:tr>
        <w:trPr>
          <w:trHeight w:val="190"/>
        </w:trPr>
        <w:tc>
          <w:tcPr>
            <w:tcW w:w="2720" w:type="dxa"/>
            <w:vAlign w:val="bottom"/>
            <w:shd w:val="clear" w:color="auto" w:fill="CCEEFF"/>
          </w:tcPr>
          <w:p>
            <w:pPr>
              <w:ind w:left="360"/>
              <w:spacing w:after="0"/>
              <w:rPr>
                <w:sz w:val="20"/>
                <w:szCs w:val="20"/>
                <w:color w:val="auto"/>
              </w:rPr>
            </w:pPr>
            <w:r>
              <w:rPr>
                <w:rFonts w:ascii="Arial" w:cs="Arial" w:eastAsia="Arial" w:hAnsi="Arial"/>
                <w:sz w:val="14"/>
                <w:szCs w:val="14"/>
                <w:color w:val="auto"/>
              </w:rPr>
              <w:t>April 1 - April 30</w:t>
            </w:r>
          </w:p>
        </w:tc>
        <w:tc>
          <w:tcPr>
            <w:tcW w:w="1640" w:type="dxa"/>
            <w:vAlign w:val="bottom"/>
            <w:tcBorders>
              <w:bottom w:val="single" w:sz="8" w:color="auto"/>
            </w:tcBorders>
            <w:shd w:val="clear" w:color="auto" w:fill="CCEEFF"/>
          </w:tcPr>
          <w:p>
            <w:pPr>
              <w:jc w:val="right"/>
              <w:ind w:right="32"/>
              <w:spacing w:after="0"/>
              <w:rPr>
                <w:sz w:val="20"/>
                <w:szCs w:val="20"/>
                <w:color w:val="auto"/>
              </w:rPr>
            </w:pPr>
            <w:r>
              <w:rPr>
                <w:rFonts w:ascii="Arial" w:cs="Arial" w:eastAsia="Arial" w:hAnsi="Arial"/>
                <w:sz w:val="14"/>
                <w:szCs w:val="14"/>
                <w:color w:val="auto"/>
              </w:rPr>
              <w:t>1,178</w:t>
            </w:r>
          </w:p>
        </w:tc>
        <w:tc>
          <w:tcPr>
            <w:tcW w:w="80" w:type="dxa"/>
            <w:vAlign w:val="bottom"/>
            <w:shd w:val="clear" w:color="auto" w:fill="CCEEFF"/>
          </w:tcPr>
          <w:p>
            <w:pPr>
              <w:spacing w:after="0"/>
              <w:rPr>
                <w:sz w:val="16"/>
                <w:szCs w:val="16"/>
                <w:color w:val="auto"/>
              </w:rPr>
            </w:pPr>
          </w:p>
        </w:tc>
        <w:tc>
          <w:tcPr>
            <w:tcW w:w="660" w:type="dxa"/>
            <w:vAlign w:val="bottom"/>
            <w:shd w:val="clear" w:color="auto" w:fill="CCEEFF"/>
          </w:tcPr>
          <w:p>
            <w:pPr>
              <w:spacing w:after="0"/>
              <w:rPr>
                <w:sz w:val="16"/>
                <w:szCs w:val="16"/>
                <w:color w:val="auto"/>
              </w:rPr>
            </w:pPr>
          </w:p>
        </w:tc>
        <w:tc>
          <w:tcPr>
            <w:tcW w:w="7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196.36</w:t>
            </w:r>
          </w:p>
        </w:tc>
        <w:tc>
          <w:tcPr>
            <w:tcW w:w="80" w:type="dxa"/>
            <w:vAlign w:val="bottom"/>
            <w:shd w:val="clear" w:color="auto" w:fill="CCEEFF"/>
          </w:tcPr>
          <w:p>
            <w:pPr>
              <w:spacing w:after="0"/>
              <w:rPr>
                <w:sz w:val="16"/>
                <w:szCs w:val="16"/>
                <w:color w:val="auto"/>
              </w:rPr>
            </w:pPr>
          </w:p>
        </w:tc>
        <w:tc>
          <w:tcPr>
            <w:tcW w:w="2280" w:type="dxa"/>
            <w:vAlign w:val="bottom"/>
            <w:tcBorders>
              <w:bottom w:val="single" w:sz="8" w:color="auto"/>
            </w:tcBorders>
            <w:shd w:val="clear" w:color="auto" w:fill="CCEEFF"/>
          </w:tcPr>
          <w:p>
            <w:pPr>
              <w:jc w:val="right"/>
              <w:ind w:right="14"/>
              <w:spacing w:after="0"/>
              <w:rPr>
                <w:sz w:val="20"/>
                <w:szCs w:val="20"/>
                <w:color w:val="auto"/>
              </w:rPr>
            </w:pPr>
            <w:r>
              <w:rPr>
                <w:rFonts w:ascii="Arial" w:cs="Arial" w:eastAsia="Arial" w:hAnsi="Arial"/>
                <w:sz w:val="14"/>
                <w:szCs w:val="14"/>
                <w:color w:val="auto"/>
              </w:rPr>
              <w:t>1,178</w:t>
            </w:r>
          </w:p>
        </w:tc>
        <w:tc>
          <w:tcPr>
            <w:tcW w:w="240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2</w:t>
            </w:r>
          </w:p>
        </w:tc>
        <w:tc>
          <w:tcPr>
            <w:tcW w:w="0" w:type="dxa"/>
            <w:vAlign w:val="bottom"/>
          </w:tcPr>
          <w:p>
            <w:pPr>
              <w:spacing w:after="0"/>
              <w:rPr>
                <w:sz w:val="1"/>
                <w:szCs w:val="1"/>
                <w:color w:val="auto"/>
              </w:rPr>
            </w:pPr>
          </w:p>
        </w:tc>
      </w:tr>
      <w:tr>
        <w:trPr>
          <w:trHeight w:val="179"/>
        </w:trPr>
        <w:tc>
          <w:tcPr>
            <w:tcW w:w="2720" w:type="dxa"/>
            <w:vAlign w:val="bottom"/>
          </w:tcPr>
          <w:p>
            <w:pPr>
              <w:ind w:left="360"/>
              <w:spacing w:after="0"/>
              <w:rPr>
                <w:sz w:val="20"/>
                <w:szCs w:val="20"/>
                <w:color w:val="auto"/>
              </w:rPr>
            </w:pPr>
            <w:r>
              <w:rPr>
                <w:rFonts w:ascii="Arial" w:cs="Arial" w:eastAsia="Arial" w:hAnsi="Arial"/>
                <w:sz w:val="14"/>
                <w:szCs w:val="14"/>
                <w:color w:val="auto"/>
              </w:rPr>
              <w:t>Total</w:t>
            </w:r>
          </w:p>
        </w:tc>
        <w:tc>
          <w:tcPr>
            <w:tcW w:w="1640" w:type="dxa"/>
            <w:vAlign w:val="bottom"/>
          </w:tcPr>
          <w:p>
            <w:pPr>
              <w:jc w:val="right"/>
              <w:ind w:right="32"/>
              <w:spacing w:after="0"/>
              <w:rPr>
                <w:sz w:val="20"/>
                <w:szCs w:val="20"/>
                <w:color w:val="auto"/>
              </w:rPr>
            </w:pPr>
            <w:r>
              <w:rPr>
                <w:rFonts w:ascii="Arial" w:cs="Arial" w:eastAsia="Arial" w:hAnsi="Arial"/>
                <w:sz w:val="14"/>
                <w:szCs w:val="14"/>
                <w:color w:val="auto"/>
              </w:rPr>
              <w:t>2,666</w:t>
            </w:r>
          </w:p>
        </w:tc>
        <w:tc>
          <w:tcPr>
            <w:tcW w:w="740" w:type="dxa"/>
            <w:vAlign w:val="bottom"/>
            <w:gridSpan w:val="2"/>
          </w:tcPr>
          <w:p>
            <w:pPr>
              <w:jc w:val="right"/>
              <w:ind w:right="156"/>
              <w:spacing w:after="0"/>
              <w:rPr>
                <w:sz w:val="20"/>
                <w:szCs w:val="20"/>
                <w:color w:val="auto"/>
              </w:rPr>
            </w:pPr>
            <w:r>
              <w:rPr>
                <w:rFonts w:ascii="Arial" w:cs="Arial" w:eastAsia="Arial" w:hAnsi="Arial"/>
                <w:sz w:val="14"/>
                <w:szCs w:val="14"/>
                <w:color w:val="auto"/>
              </w:rPr>
              <w:t>$</w:t>
            </w:r>
          </w:p>
        </w:tc>
        <w:tc>
          <w:tcPr>
            <w:tcW w:w="720" w:type="dxa"/>
            <w:vAlign w:val="bottom"/>
          </w:tcPr>
          <w:p>
            <w:pPr>
              <w:jc w:val="right"/>
              <w:spacing w:after="0"/>
              <w:rPr>
                <w:sz w:val="20"/>
                <w:szCs w:val="20"/>
                <w:color w:val="auto"/>
              </w:rPr>
            </w:pPr>
            <w:r>
              <w:rPr>
                <w:rFonts w:ascii="Arial" w:cs="Arial" w:eastAsia="Arial" w:hAnsi="Arial"/>
                <w:sz w:val="14"/>
                <w:szCs w:val="14"/>
                <w:color w:val="auto"/>
              </w:rPr>
              <w:t>199.36</w:t>
            </w:r>
          </w:p>
        </w:tc>
        <w:tc>
          <w:tcPr>
            <w:tcW w:w="2360" w:type="dxa"/>
            <w:vAlign w:val="bottom"/>
            <w:gridSpan w:val="2"/>
          </w:tcPr>
          <w:p>
            <w:pPr>
              <w:jc w:val="right"/>
              <w:ind w:right="14"/>
              <w:spacing w:after="0"/>
              <w:rPr>
                <w:sz w:val="20"/>
                <w:szCs w:val="20"/>
                <w:color w:val="auto"/>
              </w:rPr>
            </w:pPr>
            <w:r>
              <w:rPr>
                <w:rFonts w:ascii="Arial" w:cs="Arial" w:eastAsia="Arial" w:hAnsi="Arial"/>
                <w:sz w:val="14"/>
                <w:szCs w:val="14"/>
                <w:color w:val="auto"/>
              </w:rPr>
              <w:t>2,666</w:t>
            </w:r>
          </w:p>
        </w:tc>
        <w:tc>
          <w:tcPr>
            <w:tcW w:w="100" w:type="dxa"/>
            <w:vAlign w:val="bottom"/>
          </w:tcPr>
          <w:p>
            <w:pPr>
              <w:spacing w:after="0"/>
              <w:rPr>
                <w:sz w:val="15"/>
                <w:szCs w:val="15"/>
                <w:color w:val="auto"/>
              </w:rPr>
            </w:pPr>
          </w:p>
        </w:tc>
        <w:tc>
          <w:tcPr>
            <w:tcW w:w="23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2720" w:type="dxa"/>
            <w:vAlign w:val="bottom"/>
          </w:tcPr>
          <w:p>
            <w:pPr>
              <w:spacing w:after="0" w:line="20" w:lineRule="exact"/>
              <w:rPr>
                <w:sz w:val="1"/>
                <w:szCs w:val="1"/>
                <w:color w:val="auto"/>
              </w:rPr>
            </w:pPr>
          </w:p>
        </w:tc>
        <w:tc>
          <w:tcPr>
            <w:tcW w:w="1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63" w:lineRule="exact"/>
        <w:rPr>
          <w:sz w:val="20"/>
          <w:szCs w:val="20"/>
          <w:color w:val="auto"/>
        </w:rPr>
      </w:pPr>
    </w:p>
    <w:p>
      <w:pPr>
        <w:ind w:left="40"/>
        <w:spacing w:after="0"/>
        <w:rPr>
          <w:sz w:val="20"/>
          <w:szCs w:val="20"/>
          <w:color w:val="auto"/>
        </w:rPr>
      </w:pPr>
      <w:r>
        <w:rPr>
          <w:rFonts w:ascii="Arial" w:cs="Arial" w:eastAsia="Arial" w:hAnsi="Arial"/>
          <w:sz w:val="15"/>
          <w:szCs w:val="15"/>
          <w:color w:val="auto"/>
        </w:rPr>
        <w:t>________________</w:t>
      </w:r>
    </w:p>
    <w:p>
      <w:pPr>
        <w:spacing w:after="0" w:line="12" w:lineRule="exact"/>
        <w:rPr>
          <w:sz w:val="20"/>
          <w:szCs w:val="20"/>
          <w:color w:val="auto"/>
        </w:rPr>
      </w:pPr>
    </w:p>
    <w:p>
      <w:pPr>
        <w:ind w:left="360" w:hanging="356"/>
        <w:spacing w:after="0"/>
        <w:tabs>
          <w:tab w:leader="none" w:pos="360" w:val="left"/>
        </w:tabs>
        <w:numPr>
          <w:ilvl w:val="0"/>
          <w:numId w:val="21"/>
        </w:numPr>
        <w:rPr>
          <w:rFonts w:ascii="Arial" w:cs="Arial" w:eastAsia="Arial" w:hAnsi="Arial"/>
          <w:sz w:val="14"/>
          <w:szCs w:val="14"/>
          <w:color w:val="auto"/>
        </w:rPr>
      </w:pPr>
      <w:r>
        <w:rPr>
          <w:rFonts w:ascii="Arial" w:cs="Arial" w:eastAsia="Arial" w:hAnsi="Arial"/>
          <w:sz w:val="14"/>
          <w:szCs w:val="14"/>
          <w:color w:val="auto"/>
        </w:rPr>
        <w:t>This represents shares purchased in open-market transactions under the stock repurchase plans approved by the Board of Directors.</w:t>
      </w:r>
    </w:p>
    <w:p>
      <w:pPr>
        <w:spacing w:after="0" w:line="3" w:lineRule="exact"/>
        <w:rPr>
          <w:rFonts w:ascii="Arial" w:cs="Arial" w:eastAsia="Arial" w:hAnsi="Arial"/>
          <w:sz w:val="14"/>
          <w:szCs w:val="14"/>
          <w:color w:val="auto"/>
        </w:rPr>
      </w:pPr>
    </w:p>
    <w:p>
      <w:pPr>
        <w:ind w:left="360" w:right="20" w:hanging="356"/>
        <w:spacing w:after="0" w:line="248" w:lineRule="auto"/>
        <w:tabs>
          <w:tab w:leader="none" w:pos="372" w:val="left"/>
        </w:tabs>
        <w:numPr>
          <w:ilvl w:val="0"/>
          <w:numId w:val="21"/>
        </w:numPr>
        <w:rPr>
          <w:rFonts w:ascii="Arial" w:cs="Arial" w:eastAsia="Arial" w:hAnsi="Arial"/>
          <w:sz w:val="14"/>
          <w:szCs w:val="14"/>
          <w:color w:val="auto"/>
        </w:rPr>
      </w:pPr>
      <w:r>
        <w:rPr>
          <w:rFonts w:ascii="Arial" w:cs="Arial" w:eastAsia="Arial" w:hAnsi="Arial"/>
          <w:sz w:val="14"/>
          <w:szCs w:val="14"/>
          <w:color w:val="auto"/>
        </w:rPr>
        <w:t>These amounts correspond to the plan publicly announced and approved by the Board of Directors in September 2016 and November 2022 that authorized the repurchase of 30 million shares and $5 billion, respectivel</w:t>
      </w:r>
      <w:r>
        <w:rPr>
          <w:rFonts w:ascii="Arial" w:cs="Arial" w:eastAsia="Arial" w:hAnsi="Arial"/>
          <w:sz w:val="15"/>
          <w:szCs w:val="15"/>
          <w:color w:val="auto"/>
        </w:rPr>
        <w:t>y</w:t>
      </w:r>
      <w:r>
        <w:rPr>
          <w:rFonts w:ascii="Arial" w:cs="Arial" w:eastAsia="Arial" w:hAnsi="Arial"/>
          <w:sz w:val="14"/>
          <w:szCs w:val="14"/>
          <w:color w:val="auto"/>
        </w:rPr>
        <w:t>. At April 30, 2023, 2 thousand shares and $5 billion remained available for repurchase under the September 2016 and November 2022 repurchase program approved by the Board of Directors, respectively. The plans do not have a fixed expiration date. See Part I, Item 1, “Financial Statements,” Note 17, “Stockholders' Equity,” in the Notes to the Condensed Consolidated Financial Statements for further discussion.</w:t>
      </w:r>
    </w:p>
    <w:p>
      <w:pPr>
        <w:spacing w:after="0" w:line="196"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Glossary of Terms</w:t>
      </w:r>
    </w:p>
    <w:p>
      <w:pPr>
        <w:spacing w:after="0" w:line="228"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 xml:space="preserve">Billings: </w:t>
      </w:r>
      <w:r>
        <w:rPr>
          <w:rFonts w:ascii="Arial" w:cs="Arial" w:eastAsia="Arial" w:hAnsi="Arial"/>
          <w:sz w:val="15"/>
          <w:szCs w:val="15"/>
          <w:color w:val="auto"/>
        </w:rPr>
        <w:t>Total revenue plus the net change in deferred revenue from the beginning to the end of the period.</w:t>
      </w:r>
    </w:p>
    <w:p>
      <w:pPr>
        <w:spacing w:after="0" w:line="226" w:lineRule="exact"/>
        <w:rPr>
          <w:sz w:val="20"/>
          <w:szCs w:val="20"/>
          <w:color w:val="auto"/>
        </w:rPr>
      </w:pPr>
    </w:p>
    <w:p>
      <w:pPr>
        <w:ind w:right="720"/>
        <w:spacing w:after="0" w:line="279" w:lineRule="auto"/>
        <w:rPr>
          <w:sz w:val="20"/>
          <w:szCs w:val="20"/>
          <w:color w:val="auto"/>
        </w:rPr>
      </w:pPr>
      <w:r>
        <w:rPr>
          <w:rFonts w:ascii="Arial" w:cs="Arial" w:eastAsia="Arial" w:hAnsi="Arial"/>
          <w:sz w:val="15"/>
          <w:szCs w:val="15"/>
          <w:i w:val="1"/>
          <w:iCs w:val="1"/>
          <w:color w:val="auto"/>
        </w:rPr>
        <w:t>Cloud Service Offerings</w:t>
      </w:r>
      <w:r>
        <w:rPr>
          <w:rFonts w:ascii="Arial" w:cs="Arial" w:eastAsia="Arial" w:hAnsi="Arial"/>
          <w:sz w:val="15"/>
          <w:szCs w:val="15"/>
          <w:color w:val="auto"/>
        </w:rPr>
        <w:t>: Represents individual term-based offerings deployed through web browser technologies or in a hybrid software and cloud</w:t>
      </w:r>
      <w:r>
        <w:rPr>
          <w:rFonts w:ascii="Arial" w:cs="Arial" w:eastAsia="Arial" w:hAnsi="Arial"/>
          <w:sz w:val="15"/>
          <w:szCs w:val="15"/>
          <w:i w:val="1"/>
          <w:iCs w:val="1"/>
          <w:color w:val="auto"/>
        </w:rPr>
        <w:t xml:space="preserve"> </w:t>
      </w:r>
      <w:r>
        <w:rPr>
          <w:rFonts w:ascii="Arial" w:cs="Arial" w:eastAsia="Arial" w:hAnsi="Arial"/>
          <w:sz w:val="15"/>
          <w:szCs w:val="15"/>
          <w:color w:val="auto"/>
        </w:rPr>
        <w:t>configuration. Cloud service offerings that are bundled with other product offerings are not captured as a separate cloud service offering.</w:t>
      </w:r>
    </w:p>
    <w:p>
      <w:pPr>
        <w:spacing w:after="0" w:line="173" w:lineRule="exact"/>
        <w:rPr>
          <w:sz w:val="20"/>
          <w:szCs w:val="20"/>
          <w:color w:val="auto"/>
        </w:rPr>
      </w:pPr>
    </w:p>
    <w:p>
      <w:pPr>
        <w:ind w:right="100"/>
        <w:spacing w:after="0" w:line="256" w:lineRule="auto"/>
        <w:rPr>
          <w:sz w:val="20"/>
          <w:szCs w:val="20"/>
          <w:color w:val="auto"/>
        </w:rPr>
      </w:pPr>
      <w:r>
        <w:rPr>
          <w:rFonts w:ascii="Arial" w:cs="Arial" w:eastAsia="Arial" w:hAnsi="Arial"/>
          <w:sz w:val="15"/>
          <w:szCs w:val="15"/>
          <w:i w:val="1"/>
          <w:iCs w:val="1"/>
          <w:color w:val="auto"/>
        </w:rPr>
        <w:t xml:space="preserve">Constant Currency (CC) Growth Rates: </w:t>
      </w:r>
      <w:r>
        <w:rPr>
          <w:rFonts w:ascii="Arial" w:cs="Arial" w:eastAsia="Arial" w:hAnsi="Arial"/>
          <w:sz w:val="15"/>
          <w:szCs w:val="15"/>
          <w:color w:val="auto"/>
        </w:rPr>
        <w:t>We attempt to represent the changes in the underlying business operations by eliminating fluctuations caused by</w:t>
      </w:r>
      <w:r>
        <w:rPr>
          <w:rFonts w:ascii="Arial" w:cs="Arial" w:eastAsia="Arial" w:hAnsi="Arial"/>
          <w:sz w:val="15"/>
          <w:szCs w:val="15"/>
          <w:i w:val="1"/>
          <w:iCs w:val="1"/>
          <w:color w:val="auto"/>
        </w:rPr>
        <w:t xml:space="preserve"> </w:t>
      </w:r>
      <w:r>
        <w:rPr>
          <w:rFonts w:ascii="Arial" w:cs="Arial" w:eastAsia="Arial" w:hAnsi="Arial"/>
          <w:sz w:val="15"/>
          <w:szCs w:val="15"/>
          <w:color w:val="auto"/>
        </w:rPr>
        <w:t>changes in foreign currency exchange rates as well as eliminating hedge gains or losses recorded within the current and comparative periods. We calculate constant currency growth rates by (i) applying the applicable prior period exchange rates to current period results and (ii) excluding any gains or losses from foreign currency hedge contracts that are reported in the current and comparative periods.</w:t>
      </w:r>
    </w:p>
    <w:p>
      <w:pPr>
        <w:spacing w:after="0" w:line="190" w:lineRule="exact"/>
        <w:rPr>
          <w:sz w:val="20"/>
          <w:szCs w:val="20"/>
          <w:color w:val="auto"/>
        </w:rPr>
      </w:pPr>
    </w:p>
    <w:p>
      <w:pPr>
        <w:ind w:right="120"/>
        <w:spacing w:after="0" w:line="262" w:lineRule="auto"/>
        <w:rPr>
          <w:sz w:val="20"/>
          <w:szCs w:val="20"/>
          <w:color w:val="auto"/>
        </w:rPr>
      </w:pPr>
      <w:r>
        <w:rPr>
          <w:rFonts w:ascii="Arial" w:cs="Arial" w:eastAsia="Arial" w:hAnsi="Arial"/>
          <w:sz w:val="15"/>
          <w:szCs w:val="15"/>
          <w:i w:val="1"/>
          <w:iCs w:val="1"/>
          <w:color w:val="auto"/>
        </w:rPr>
        <w:t xml:space="preserve">Design Business: </w:t>
      </w:r>
      <w:r>
        <w:rPr>
          <w:rFonts w:ascii="Arial" w:cs="Arial" w:eastAsia="Arial" w:hAnsi="Arial"/>
          <w:sz w:val="15"/>
          <w:szCs w:val="15"/>
          <w:color w:val="auto"/>
        </w:rPr>
        <w:t>Represents the combination of maintenance, product subscriptions, and all EBAs. Main products include, but are not limited to, AutoCAD,</w:t>
      </w:r>
      <w:r>
        <w:rPr>
          <w:rFonts w:ascii="Arial" w:cs="Arial" w:eastAsia="Arial" w:hAnsi="Arial"/>
          <w:sz w:val="15"/>
          <w:szCs w:val="15"/>
          <w:i w:val="1"/>
          <w:iCs w:val="1"/>
          <w:color w:val="auto"/>
        </w:rPr>
        <w:t xml:space="preserve"> </w:t>
      </w:r>
      <w:r>
        <w:rPr>
          <w:rFonts w:ascii="Arial" w:cs="Arial" w:eastAsia="Arial" w:hAnsi="Arial"/>
          <w:sz w:val="15"/>
          <w:szCs w:val="15"/>
          <w:color w:val="auto"/>
        </w:rPr>
        <w:t>AutoCAD LT, Industry Collections, Revit, Inventor, Maya and 3ds Max. Certain products, such as our computer aided manufacturing solutions, incorporate both Design and Make functionality and are classified as Design.</w:t>
      </w:r>
    </w:p>
    <w:p>
      <w:pPr>
        <w:spacing w:after="0" w:line="185" w:lineRule="exact"/>
        <w:rPr>
          <w:sz w:val="20"/>
          <w:szCs w:val="20"/>
          <w:color w:val="auto"/>
        </w:rPr>
      </w:pPr>
    </w:p>
    <w:p>
      <w:pPr>
        <w:ind w:right="540"/>
        <w:spacing w:after="0" w:line="279" w:lineRule="auto"/>
        <w:rPr>
          <w:sz w:val="20"/>
          <w:szCs w:val="20"/>
          <w:color w:val="auto"/>
        </w:rPr>
      </w:pPr>
      <w:r>
        <w:rPr>
          <w:rFonts w:ascii="Arial" w:cs="Arial" w:eastAsia="Arial" w:hAnsi="Arial"/>
          <w:sz w:val="15"/>
          <w:szCs w:val="15"/>
          <w:i w:val="1"/>
          <w:iCs w:val="1"/>
          <w:color w:val="auto"/>
        </w:rPr>
        <w:t xml:space="preserve">Enterprise Business Agreements (EBAs): </w:t>
      </w:r>
      <w:r>
        <w:rPr>
          <w:rFonts w:ascii="Arial" w:cs="Arial" w:eastAsia="Arial" w:hAnsi="Arial"/>
          <w:sz w:val="15"/>
          <w:szCs w:val="15"/>
          <w:color w:val="auto"/>
        </w:rPr>
        <w:t>Represents programs providing enterprise customers with token-based access to a broad pool of Autodesk</w:t>
      </w:r>
      <w:r>
        <w:rPr>
          <w:rFonts w:ascii="Arial" w:cs="Arial" w:eastAsia="Arial" w:hAnsi="Arial"/>
          <w:sz w:val="15"/>
          <w:szCs w:val="15"/>
          <w:i w:val="1"/>
          <w:iCs w:val="1"/>
          <w:color w:val="auto"/>
        </w:rPr>
        <w:t xml:space="preserve"> </w:t>
      </w:r>
      <w:r>
        <w:rPr>
          <w:rFonts w:ascii="Arial" w:cs="Arial" w:eastAsia="Arial" w:hAnsi="Arial"/>
          <w:sz w:val="15"/>
          <w:szCs w:val="15"/>
          <w:color w:val="auto"/>
        </w:rPr>
        <w:t>products over a defined contract term.</w:t>
      </w:r>
    </w:p>
    <w:p>
      <w:pPr>
        <w:spacing w:after="0" w:line="173"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 xml:space="preserve">Flex: </w:t>
      </w:r>
      <w:r>
        <w:rPr>
          <w:rFonts w:ascii="Arial" w:cs="Arial" w:eastAsia="Arial" w:hAnsi="Arial"/>
          <w:sz w:val="15"/>
          <w:szCs w:val="15"/>
          <w:color w:val="auto"/>
        </w:rPr>
        <w:t>A pay-as-you-go consumption option to pre-purchase tokens to access any product available with Flex for a daily rate.</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 xml:space="preserve">Free Cash Flow: </w:t>
      </w:r>
      <w:r>
        <w:rPr>
          <w:rFonts w:ascii="Arial" w:cs="Arial" w:eastAsia="Arial" w:hAnsi="Arial"/>
          <w:sz w:val="15"/>
          <w:szCs w:val="15"/>
          <w:color w:val="auto"/>
        </w:rPr>
        <w:t>Cash flow from operating activities minus capital expenditures.</w: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46" w:name="page47"/>
    <w:bookmarkEnd w:id="46"/>
    <w:p>
      <w:pPr>
        <w:ind w:right="180"/>
        <w:spacing w:after="0" w:line="262" w:lineRule="auto"/>
        <w:rPr>
          <w:sz w:val="20"/>
          <w:szCs w:val="20"/>
          <w:color w:val="auto"/>
        </w:rPr>
      </w:pPr>
      <w:r>
        <w:rPr>
          <w:rFonts w:ascii="Arial" w:cs="Arial" w:eastAsia="Arial" w:hAnsi="Arial"/>
          <w:sz w:val="15"/>
          <w:szCs w:val="15"/>
          <w:i w:val="1"/>
          <w:iCs w:val="1"/>
          <w:color w:val="auto"/>
        </w:rPr>
        <w:t xml:space="preserve">Industry Collections: </w:t>
      </w:r>
      <w:r>
        <w:rPr>
          <w:rFonts w:ascii="Arial" w:cs="Arial" w:eastAsia="Arial" w:hAnsi="Arial"/>
          <w:sz w:val="15"/>
          <w:szCs w:val="15"/>
          <w:color w:val="auto"/>
        </w:rPr>
        <w:t>Autodesk Industry Collections are a combination of products and services that target a specific user objective and support a set of</w:t>
      </w:r>
      <w:r>
        <w:rPr>
          <w:rFonts w:ascii="Arial" w:cs="Arial" w:eastAsia="Arial" w:hAnsi="Arial"/>
          <w:sz w:val="15"/>
          <w:szCs w:val="15"/>
          <w:i w:val="1"/>
          <w:iCs w:val="1"/>
          <w:color w:val="auto"/>
        </w:rPr>
        <w:t xml:space="preserve"> </w:t>
      </w:r>
      <w:r>
        <w:rPr>
          <w:rFonts w:ascii="Arial" w:cs="Arial" w:eastAsia="Arial" w:hAnsi="Arial"/>
          <w:sz w:val="15"/>
          <w:szCs w:val="15"/>
          <w:color w:val="auto"/>
        </w:rPr>
        <w:t>workflows for that objective. Our Industry Collections consist of: Autodesk Architecture, Engineering and Construction Collection, Autodesk Product Design and Manufacturing Collection, and Autodesk Media and Entertainment Collection.</w:t>
      </w:r>
    </w:p>
    <w:p>
      <w:pPr>
        <w:spacing w:after="0" w:line="185" w:lineRule="exact"/>
        <w:rPr>
          <w:sz w:val="20"/>
          <w:szCs w:val="20"/>
          <w:color w:val="auto"/>
        </w:rPr>
      </w:pPr>
    </w:p>
    <w:p>
      <w:pPr>
        <w:jc w:val="both"/>
        <w:ind w:right="40"/>
        <w:spacing w:after="0" w:line="262" w:lineRule="auto"/>
        <w:rPr>
          <w:sz w:val="20"/>
          <w:szCs w:val="20"/>
          <w:color w:val="auto"/>
        </w:rPr>
      </w:pPr>
      <w:r>
        <w:rPr>
          <w:rFonts w:ascii="Arial" w:cs="Arial" w:eastAsia="Arial" w:hAnsi="Arial"/>
          <w:sz w:val="15"/>
          <w:szCs w:val="15"/>
          <w:i w:val="1"/>
          <w:iCs w:val="1"/>
          <w:color w:val="auto"/>
        </w:rPr>
        <w:t xml:space="preserve">Maintenance Plan: </w:t>
      </w:r>
      <w:r>
        <w:rPr>
          <w:rFonts w:ascii="Arial" w:cs="Arial" w:eastAsia="Arial" w:hAnsi="Arial"/>
          <w:sz w:val="15"/>
          <w:szCs w:val="15"/>
          <w:color w:val="auto"/>
        </w:rPr>
        <w:t>Our maintenance plans provide our customers with a cost effective and predictable budgetary option to obtain the productivity benefits of</w:t>
      </w:r>
      <w:r>
        <w:rPr>
          <w:rFonts w:ascii="Arial" w:cs="Arial" w:eastAsia="Arial" w:hAnsi="Arial"/>
          <w:sz w:val="15"/>
          <w:szCs w:val="15"/>
          <w:i w:val="1"/>
          <w:iCs w:val="1"/>
          <w:color w:val="auto"/>
        </w:rPr>
        <w:t xml:space="preserve"> </w:t>
      </w:r>
      <w:r>
        <w:rPr>
          <w:rFonts w:ascii="Arial" w:cs="Arial" w:eastAsia="Arial" w:hAnsi="Arial"/>
          <w:sz w:val="15"/>
          <w:szCs w:val="15"/>
          <w:color w:val="auto"/>
        </w:rPr>
        <w:t>our new releases and enhancements when and if released during the term of their contracts. Under our maintenance plans, customers are eligible to receive unspecified upgrades when and if available, and technical support. We recognize maintenance revenue over the term of the agreements, generally one year.</w:t>
      </w:r>
    </w:p>
    <w:p>
      <w:pPr>
        <w:spacing w:after="0" w:line="185" w:lineRule="exact"/>
        <w:rPr>
          <w:sz w:val="20"/>
          <w:szCs w:val="20"/>
          <w:color w:val="auto"/>
        </w:rPr>
      </w:pPr>
    </w:p>
    <w:p>
      <w:pPr>
        <w:ind w:right="240"/>
        <w:spacing w:after="0" w:line="262" w:lineRule="auto"/>
        <w:rPr>
          <w:sz w:val="20"/>
          <w:szCs w:val="20"/>
          <w:color w:val="auto"/>
        </w:rPr>
      </w:pPr>
      <w:r>
        <w:rPr>
          <w:rFonts w:ascii="Arial" w:cs="Arial" w:eastAsia="Arial" w:hAnsi="Arial"/>
          <w:sz w:val="15"/>
          <w:szCs w:val="15"/>
          <w:i w:val="1"/>
          <w:iCs w:val="1"/>
          <w:color w:val="auto"/>
        </w:rPr>
        <w:t xml:space="preserve">Make Business: </w:t>
      </w:r>
      <w:r>
        <w:rPr>
          <w:rFonts w:ascii="Arial" w:cs="Arial" w:eastAsia="Arial" w:hAnsi="Arial"/>
          <w:sz w:val="15"/>
          <w:szCs w:val="15"/>
          <w:color w:val="auto"/>
        </w:rPr>
        <w:t>Represents certain cloud-based product subscriptions. Main products include, but are not limited to, Assemble, Autodesk Build,</w:t>
      </w:r>
      <w:r>
        <w:rPr>
          <w:rFonts w:ascii="Arial" w:cs="Arial" w:eastAsia="Arial" w:hAnsi="Arial"/>
          <w:sz w:val="15"/>
          <w:szCs w:val="15"/>
          <w:i w:val="1"/>
          <w:iCs w:val="1"/>
          <w:color w:val="auto"/>
        </w:rPr>
        <w:t xml:space="preserve"> </w:t>
      </w:r>
      <w:r>
        <w:rPr>
          <w:rFonts w:ascii="Arial" w:cs="Arial" w:eastAsia="Arial" w:hAnsi="Arial"/>
          <w:sz w:val="15"/>
          <w:szCs w:val="15"/>
          <w:color w:val="auto"/>
        </w:rPr>
        <w:t>BuildingConnected, Fusion 360 and ShotGrid. Certain products, such as Fusion 360, incorporate both Design and Make functionality and are classified as Make.</w:t>
      </w:r>
    </w:p>
    <w:p>
      <w:pPr>
        <w:spacing w:after="0" w:line="185" w:lineRule="exact"/>
        <w:rPr>
          <w:sz w:val="20"/>
          <w:szCs w:val="20"/>
          <w:color w:val="auto"/>
        </w:rPr>
      </w:pPr>
    </w:p>
    <w:p>
      <w:pPr>
        <w:ind w:right="20"/>
        <w:spacing w:after="0" w:line="253" w:lineRule="auto"/>
        <w:rPr>
          <w:sz w:val="20"/>
          <w:szCs w:val="20"/>
          <w:color w:val="auto"/>
        </w:rPr>
      </w:pPr>
      <w:r>
        <w:rPr>
          <w:rFonts w:ascii="Arial" w:cs="Arial" w:eastAsia="Arial" w:hAnsi="Arial"/>
          <w:sz w:val="15"/>
          <w:szCs w:val="15"/>
          <w:i w:val="1"/>
          <w:iCs w:val="1"/>
          <w:color w:val="auto"/>
        </w:rPr>
        <w:t xml:space="preserve">Net Revenue Retention Rate (NR3): </w:t>
      </w:r>
      <w:r>
        <w:rPr>
          <w:rFonts w:ascii="Arial" w:cs="Arial" w:eastAsia="Arial" w:hAnsi="Arial"/>
          <w:sz w:val="15"/>
          <w:szCs w:val="15"/>
          <w:color w:val="auto"/>
        </w:rPr>
        <w:t>Measures the year-over-year change in Recurring Revenue for the population of customers that existed one year ago</w:t>
      </w:r>
      <w:r>
        <w:rPr>
          <w:rFonts w:ascii="Arial" w:cs="Arial" w:eastAsia="Arial" w:hAnsi="Arial"/>
          <w:sz w:val="15"/>
          <w:szCs w:val="15"/>
          <w:i w:val="1"/>
          <w:iCs w:val="1"/>
          <w:color w:val="auto"/>
        </w:rPr>
        <w:t xml:space="preserve"> </w:t>
      </w:r>
      <w:r>
        <w:rPr>
          <w:rFonts w:ascii="Arial" w:cs="Arial" w:eastAsia="Arial" w:hAnsi="Arial"/>
          <w:sz w:val="15"/>
          <w:szCs w:val="15"/>
          <w:color w:val="auto"/>
        </w:rPr>
        <w:t>(“base customers”). Net revenue retention rate is calculated by dividing the current quarter Recurring Revenue related to base customers by the total corresponding quarter Recurring Revenue from one year ago. Recurring Revenue is based on USD reported revenue, and fluctuations caused by changes in foreign currency exchange rates and hedge gains or losses have not been eliminated. Recurring Revenue related to acquired companies, one year after acquisition, has been captured as existing customers until such data conforms to the calculation methodology. This may cause variability in the comparison.</w:t>
      </w:r>
    </w:p>
    <w:p>
      <w:pPr>
        <w:spacing w:after="0" w:line="192" w:lineRule="exact"/>
        <w:rPr>
          <w:sz w:val="20"/>
          <w:szCs w:val="20"/>
          <w:color w:val="auto"/>
        </w:rPr>
      </w:pPr>
    </w:p>
    <w:p>
      <w:pPr>
        <w:ind w:right="20"/>
        <w:spacing w:after="0" w:line="279" w:lineRule="auto"/>
        <w:rPr>
          <w:sz w:val="20"/>
          <w:szCs w:val="20"/>
          <w:color w:val="auto"/>
        </w:rPr>
      </w:pPr>
      <w:r>
        <w:rPr>
          <w:rFonts w:ascii="Arial" w:cs="Arial" w:eastAsia="Arial" w:hAnsi="Arial"/>
          <w:sz w:val="15"/>
          <w:szCs w:val="15"/>
          <w:i w:val="1"/>
          <w:iCs w:val="1"/>
          <w:color w:val="auto"/>
        </w:rPr>
        <w:t xml:space="preserve">Other Revenue: </w:t>
      </w:r>
      <w:r>
        <w:rPr>
          <w:rFonts w:ascii="Arial" w:cs="Arial" w:eastAsia="Arial" w:hAnsi="Arial"/>
          <w:sz w:val="15"/>
          <w:szCs w:val="15"/>
          <w:color w:val="auto"/>
        </w:rPr>
        <w:t>Consists of revenue from consulting, training, and other products and services, and is recognized as the products are delivered and services</w:t>
      </w:r>
      <w:r>
        <w:rPr>
          <w:rFonts w:ascii="Arial" w:cs="Arial" w:eastAsia="Arial" w:hAnsi="Arial"/>
          <w:sz w:val="15"/>
          <w:szCs w:val="15"/>
          <w:i w:val="1"/>
          <w:iCs w:val="1"/>
          <w:color w:val="auto"/>
        </w:rPr>
        <w:t xml:space="preserve"> </w:t>
      </w:r>
      <w:r>
        <w:rPr>
          <w:rFonts w:ascii="Arial" w:cs="Arial" w:eastAsia="Arial" w:hAnsi="Arial"/>
          <w:sz w:val="15"/>
          <w:szCs w:val="15"/>
          <w:color w:val="auto"/>
        </w:rPr>
        <w:t>are performed.</w:t>
      </w:r>
    </w:p>
    <w:p>
      <w:pPr>
        <w:spacing w:after="0" w:line="173" w:lineRule="exact"/>
        <w:rPr>
          <w:sz w:val="20"/>
          <w:szCs w:val="20"/>
          <w:color w:val="auto"/>
        </w:rPr>
      </w:pPr>
    </w:p>
    <w:p>
      <w:pPr>
        <w:spacing w:after="0" w:line="262" w:lineRule="auto"/>
        <w:rPr>
          <w:sz w:val="20"/>
          <w:szCs w:val="20"/>
          <w:color w:val="auto"/>
        </w:rPr>
      </w:pPr>
      <w:r>
        <w:rPr>
          <w:rFonts w:ascii="Arial" w:cs="Arial" w:eastAsia="Arial" w:hAnsi="Arial"/>
          <w:sz w:val="15"/>
          <w:szCs w:val="15"/>
          <w:i w:val="1"/>
          <w:iCs w:val="1"/>
          <w:color w:val="auto"/>
        </w:rPr>
        <w:t xml:space="preserve">Product Subscription: </w:t>
      </w:r>
      <w:r>
        <w:rPr>
          <w:rFonts w:ascii="Arial" w:cs="Arial" w:eastAsia="Arial" w:hAnsi="Arial"/>
          <w:sz w:val="15"/>
          <w:szCs w:val="15"/>
          <w:color w:val="auto"/>
        </w:rPr>
        <w:t>Provides customers a flexible, cost-effective way to access and manage 3D design, engineering, and entertainment software tools.</w:t>
      </w:r>
      <w:r>
        <w:rPr>
          <w:rFonts w:ascii="Arial" w:cs="Arial" w:eastAsia="Arial" w:hAnsi="Arial"/>
          <w:sz w:val="15"/>
          <w:szCs w:val="15"/>
          <w:i w:val="1"/>
          <w:iCs w:val="1"/>
          <w:color w:val="auto"/>
        </w:rPr>
        <w:t xml:space="preserve"> </w:t>
      </w:r>
      <w:r>
        <w:rPr>
          <w:rFonts w:ascii="Arial" w:cs="Arial" w:eastAsia="Arial" w:hAnsi="Arial"/>
          <w:sz w:val="15"/>
          <w:szCs w:val="15"/>
          <w:color w:val="auto"/>
        </w:rPr>
        <w:t>Our product subscriptions currently represent a hybrid of desktop and cloud functionality, which provides a device-independent, collaborative design workflow for designers and their stakeholders.</w:t>
      </w:r>
    </w:p>
    <w:p>
      <w:pPr>
        <w:spacing w:after="0" w:line="185" w:lineRule="exact"/>
        <w:rPr>
          <w:sz w:val="20"/>
          <w:szCs w:val="20"/>
          <w:color w:val="auto"/>
        </w:rPr>
      </w:pPr>
    </w:p>
    <w:p>
      <w:pPr>
        <w:spacing w:after="0" w:line="262" w:lineRule="auto"/>
        <w:rPr>
          <w:sz w:val="20"/>
          <w:szCs w:val="20"/>
          <w:color w:val="auto"/>
        </w:rPr>
      </w:pPr>
      <w:r>
        <w:rPr>
          <w:rFonts w:ascii="Arial" w:cs="Arial" w:eastAsia="Arial" w:hAnsi="Arial"/>
          <w:sz w:val="15"/>
          <w:szCs w:val="15"/>
          <w:i w:val="1"/>
          <w:iCs w:val="1"/>
          <w:color w:val="auto"/>
        </w:rPr>
        <w:t xml:space="preserve">Recurring Revenue: </w:t>
      </w:r>
      <w:r>
        <w:rPr>
          <w:rFonts w:ascii="Arial" w:cs="Arial" w:eastAsia="Arial" w:hAnsi="Arial"/>
          <w:sz w:val="15"/>
          <w:szCs w:val="15"/>
          <w:color w:val="auto"/>
        </w:rPr>
        <w:t>Consists of the revenue for the period from our traditional maintenance plans, our subscription plan offerings, and certain Other revenue.</w:t>
      </w:r>
      <w:r>
        <w:rPr>
          <w:rFonts w:ascii="Arial" w:cs="Arial" w:eastAsia="Arial" w:hAnsi="Arial"/>
          <w:sz w:val="15"/>
          <w:szCs w:val="15"/>
          <w:i w:val="1"/>
          <w:iCs w:val="1"/>
          <w:color w:val="auto"/>
        </w:rPr>
        <w:t xml:space="preserve"> </w:t>
      </w:r>
      <w:r>
        <w:rPr>
          <w:rFonts w:ascii="Arial" w:cs="Arial" w:eastAsia="Arial" w:hAnsi="Arial"/>
          <w:sz w:val="15"/>
          <w:szCs w:val="15"/>
          <w:color w:val="auto"/>
        </w:rPr>
        <w:t>It excludes subscription revenue related to third-party products. Recurring revenue acquired with the acquisition of a business is captured when total subscriptions are captured in our systems and may cause variability in the comparison of this calculation.</w:t>
      </w:r>
    </w:p>
    <w:p>
      <w:pPr>
        <w:spacing w:after="0" w:line="185" w:lineRule="exact"/>
        <w:rPr>
          <w:sz w:val="20"/>
          <w:szCs w:val="20"/>
          <w:color w:val="auto"/>
        </w:rPr>
      </w:pPr>
    </w:p>
    <w:p>
      <w:pPr>
        <w:ind w:right="700"/>
        <w:spacing w:after="0" w:line="279" w:lineRule="auto"/>
        <w:rPr>
          <w:sz w:val="20"/>
          <w:szCs w:val="20"/>
          <w:color w:val="auto"/>
        </w:rPr>
      </w:pPr>
      <w:r>
        <w:rPr>
          <w:rFonts w:ascii="Arial" w:cs="Arial" w:eastAsia="Arial" w:hAnsi="Arial"/>
          <w:sz w:val="15"/>
          <w:szCs w:val="15"/>
          <w:i w:val="1"/>
          <w:iCs w:val="1"/>
          <w:color w:val="auto"/>
        </w:rPr>
        <w:t xml:space="preserve">Remaining Performance Obligations (RPO): </w:t>
      </w:r>
      <w:r>
        <w:rPr>
          <w:rFonts w:ascii="Arial" w:cs="Arial" w:eastAsia="Arial" w:hAnsi="Arial"/>
          <w:sz w:val="15"/>
          <w:szCs w:val="15"/>
          <w:color w:val="auto"/>
        </w:rPr>
        <w:t>The sum of total short -term, long- term, and unbilled deferred revenue. Current remaining performance</w:t>
      </w:r>
      <w:r>
        <w:rPr>
          <w:rFonts w:ascii="Arial" w:cs="Arial" w:eastAsia="Arial" w:hAnsi="Arial"/>
          <w:sz w:val="15"/>
          <w:szCs w:val="15"/>
          <w:i w:val="1"/>
          <w:iCs w:val="1"/>
          <w:color w:val="auto"/>
        </w:rPr>
        <w:t xml:space="preserve"> </w:t>
      </w:r>
      <w:r>
        <w:rPr>
          <w:rFonts w:ascii="Arial" w:cs="Arial" w:eastAsia="Arial" w:hAnsi="Arial"/>
          <w:sz w:val="15"/>
          <w:szCs w:val="15"/>
          <w:color w:val="auto"/>
        </w:rPr>
        <w:t>obligations is the amount of revenue we expect to recognize in the next twelve months.</w:t>
      </w:r>
    </w:p>
    <w:p>
      <w:pPr>
        <w:spacing w:after="0" w:line="173"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Spend</w:t>
      </w:r>
      <w:r>
        <w:rPr>
          <w:rFonts w:ascii="Arial" w:cs="Arial" w:eastAsia="Arial" w:hAnsi="Arial"/>
          <w:sz w:val="15"/>
          <w:szCs w:val="15"/>
          <w:color w:val="auto"/>
        </w:rPr>
        <w:t>: The sum of cost of revenue and operating expenses.</w:t>
      </w:r>
    </w:p>
    <w:p>
      <w:pPr>
        <w:spacing w:after="0" w:line="226" w:lineRule="exact"/>
        <w:rPr>
          <w:sz w:val="20"/>
          <w:szCs w:val="20"/>
          <w:color w:val="auto"/>
        </w:rPr>
      </w:pPr>
    </w:p>
    <w:p>
      <w:pPr>
        <w:ind w:right="140"/>
        <w:spacing w:after="0" w:line="262" w:lineRule="auto"/>
        <w:rPr>
          <w:sz w:val="20"/>
          <w:szCs w:val="20"/>
          <w:color w:val="auto"/>
        </w:rPr>
      </w:pPr>
      <w:r>
        <w:rPr>
          <w:rFonts w:ascii="Arial" w:cs="Arial" w:eastAsia="Arial" w:hAnsi="Arial"/>
          <w:sz w:val="15"/>
          <w:szCs w:val="15"/>
          <w:i w:val="1"/>
          <w:iCs w:val="1"/>
          <w:color w:val="auto"/>
        </w:rPr>
        <w:t xml:space="preserve">Subscription Plan: </w:t>
      </w:r>
      <w:r>
        <w:rPr>
          <w:rFonts w:ascii="Arial" w:cs="Arial" w:eastAsia="Arial" w:hAnsi="Arial"/>
          <w:sz w:val="15"/>
          <w:szCs w:val="15"/>
          <w:color w:val="auto"/>
        </w:rPr>
        <w:t>Comprises our term-based product subscriptions, cloud service offerings, and EBAs. Subscriptions represent a combined hybrid offering</w:t>
      </w:r>
      <w:r>
        <w:rPr>
          <w:rFonts w:ascii="Arial" w:cs="Arial" w:eastAsia="Arial" w:hAnsi="Arial"/>
          <w:sz w:val="15"/>
          <w:szCs w:val="15"/>
          <w:i w:val="1"/>
          <w:iCs w:val="1"/>
          <w:color w:val="auto"/>
        </w:rPr>
        <w:t xml:space="preserve"> </w:t>
      </w:r>
      <w:r>
        <w:rPr>
          <w:rFonts w:ascii="Arial" w:cs="Arial" w:eastAsia="Arial" w:hAnsi="Arial"/>
          <w:sz w:val="15"/>
          <w:szCs w:val="15"/>
          <w:color w:val="auto"/>
        </w:rPr>
        <w:t>of desktop software and cloud functionality which provides a device-independent, collaborative design workflow for designers and their stakeholders. With subscription, customers can use our software anytime, anywhere, and get access to the latest updates to previous versions.</w:t>
      </w:r>
    </w:p>
    <w:p>
      <w:pPr>
        <w:spacing w:after="0" w:line="185"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 xml:space="preserve">Subscription Revenue: </w:t>
      </w:r>
      <w:r>
        <w:rPr>
          <w:rFonts w:ascii="Arial" w:cs="Arial" w:eastAsia="Arial" w:hAnsi="Arial"/>
          <w:sz w:val="15"/>
          <w:szCs w:val="15"/>
          <w:color w:val="auto"/>
        </w:rPr>
        <w:t>Includes our cloud-enabled term-based product subscriptions, cloud service offerings, and flexible EBAs.</w:t>
      </w:r>
    </w:p>
    <w:p>
      <w:pPr>
        <w:spacing w:after="0" w:line="226" w:lineRule="exact"/>
        <w:rPr>
          <w:sz w:val="20"/>
          <w:szCs w:val="20"/>
          <w:color w:val="auto"/>
        </w:rPr>
      </w:pPr>
    </w:p>
    <w:p>
      <w:pPr>
        <w:ind w:right="160"/>
        <w:spacing w:after="0" w:line="256" w:lineRule="auto"/>
        <w:rPr>
          <w:sz w:val="20"/>
          <w:szCs w:val="20"/>
          <w:color w:val="auto"/>
        </w:rPr>
      </w:pPr>
      <w:r>
        <w:rPr>
          <w:rFonts w:ascii="Arial" w:cs="Arial" w:eastAsia="Arial" w:hAnsi="Arial"/>
          <w:sz w:val="15"/>
          <w:szCs w:val="15"/>
          <w:i w:val="1"/>
          <w:iCs w:val="1"/>
          <w:color w:val="auto"/>
        </w:rPr>
        <w:t xml:space="preserve">Unbilled Deferred Revenue: </w:t>
      </w:r>
      <w:r>
        <w:rPr>
          <w:rFonts w:ascii="Arial" w:cs="Arial" w:eastAsia="Arial" w:hAnsi="Arial"/>
          <w:sz w:val="15"/>
          <w:szCs w:val="15"/>
          <w:color w:val="auto"/>
        </w:rPr>
        <w:t>Unbilled deferred revenue represents contractually stated or committed orders under early renewal and multi-year billing plans</w:t>
      </w:r>
      <w:r>
        <w:rPr>
          <w:rFonts w:ascii="Arial" w:cs="Arial" w:eastAsia="Arial" w:hAnsi="Arial"/>
          <w:sz w:val="15"/>
          <w:szCs w:val="15"/>
          <w:i w:val="1"/>
          <w:iCs w:val="1"/>
          <w:color w:val="auto"/>
        </w:rPr>
        <w:t xml:space="preserve"> </w:t>
      </w:r>
      <w:r>
        <w:rPr>
          <w:rFonts w:ascii="Arial" w:cs="Arial" w:eastAsia="Arial" w:hAnsi="Arial"/>
          <w:sz w:val="15"/>
          <w:szCs w:val="15"/>
          <w:color w:val="auto"/>
        </w:rPr>
        <w:t>for subscription, services, and maintenance for which the associated deferred revenue has not been recognized. Under FASB Accounting Standards Codification ("ASC") Topic 606, unbilled deferred revenue is not included as a receivable or deferred revenue on our Condensed Consolidated Balance Sheet.</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4" w:right="660" w:bottom="1440" w:gutter="0" w:footer="0" w:header="0"/>
        </w:sectPr>
      </w:pPr>
    </w:p>
    <w:bookmarkStart w:id="47" w:name="page48"/>
    <w:bookmarkEnd w:id="47"/>
    <w:p>
      <w:pPr>
        <w:spacing w:after="0"/>
        <w:tabs>
          <w:tab w:leader="none" w:pos="1080" w:val="left"/>
        </w:tabs>
        <w:rPr>
          <w:sz w:val="20"/>
          <w:szCs w:val="20"/>
          <w:color w:val="auto"/>
        </w:rPr>
      </w:pPr>
      <w:r>
        <w:rPr>
          <w:rFonts w:ascii="Arial" w:cs="Arial" w:eastAsia="Arial" w:hAnsi="Arial"/>
          <w:sz w:val="15"/>
          <w:szCs w:val="15"/>
          <w:b w:val="1"/>
          <w:bCs w:val="1"/>
          <w:color w:val="auto"/>
        </w:rPr>
        <w:t>ITEM 3.</w:t>
      </w:r>
      <w:r>
        <w:rPr>
          <w:sz w:val="20"/>
          <w:szCs w:val="20"/>
          <w:color w:val="auto"/>
        </w:rPr>
        <w:tab/>
      </w:r>
      <w:r>
        <w:rPr>
          <w:rFonts w:ascii="Arial" w:cs="Arial" w:eastAsia="Arial" w:hAnsi="Arial"/>
          <w:sz w:val="15"/>
          <w:szCs w:val="15"/>
          <w:b w:val="1"/>
          <w:bCs w:val="1"/>
          <w:color w:val="auto"/>
        </w:rPr>
        <w:t>QUANTITATIVE AND QUALITATIVE DISCLOSURES ABOUT MARKET RISK</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Foreign Currency Exchange Risk</w:t>
      </w:r>
    </w:p>
    <w:p>
      <w:pPr>
        <w:spacing w:after="0" w:line="234" w:lineRule="exact"/>
        <w:rPr>
          <w:sz w:val="20"/>
          <w:szCs w:val="20"/>
          <w:color w:val="auto"/>
        </w:rPr>
      </w:pPr>
    </w:p>
    <w:p>
      <w:pPr>
        <w:ind w:right="80" w:firstLine="387"/>
        <w:spacing w:after="0" w:line="248" w:lineRule="auto"/>
        <w:rPr>
          <w:sz w:val="20"/>
          <w:szCs w:val="20"/>
          <w:color w:val="auto"/>
        </w:rPr>
      </w:pPr>
      <w:r>
        <w:rPr>
          <w:rFonts w:ascii="Arial" w:cs="Arial" w:eastAsia="Arial" w:hAnsi="Arial"/>
          <w:sz w:val="15"/>
          <w:szCs w:val="15"/>
          <w:color w:val="auto"/>
        </w:rPr>
        <w:t>Our revenue, earnings, cash flows, receivables, and payables are subject to fluctuations due to changes in foreign currency exchange rates. Our risk management strategy utilizes foreign currency contracts to manage our exposure to foreign currency volatility that exists as part of our ongoing business operations. We utilize cash flow hedge contracts to reduce the exchange rate impact on a portion of the net revenue or operating expense of certain anticipated transactions. In addition, we use balance sheet hedge contracts to reduce the exchange rate risk associated primarily with foreign currency denominated receivables and payables. As of April 30, 2023, and January 31, 2023, we had open cash flow and balance sheet hedge contracts with future settlements generally within one to 12 months. Contracts were primarily denominated in Euros, Japanese yen, British pounds, Indian rupees, Canadian dollars, Australian dollars, Singapore dollars, Swiss francs, Swedish krona, and Czech koruna. We do not enter into foreign exchange derivative instruments for trading or speculative purposes.</w:t>
      </w:r>
    </w:p>
    <w:p>
      <w:pPr>
        <w:spacing w:after="0" w:line="203" w:lineRule="exact"/>
        <w:rPr>
          <w:sz w:val="20"/>
          <w:szCs w:val="20"/>
          <w:color w:val="auto"/>
        </w:rPr>
      </w:pPr>
    </w:p>
    <w:p>
      <w:pPr>
        <w:ind w:right="160" w:firstLine="387"/>
        <w:spacing w:after="0" w:line="263" w:lineRule="auto"/>
        <w:rPr>
          <w:sz w:val="20"/>
          <w:szCs w:val="20"/>
          <w:color w:val="auto"/>
        </w:rPr>
      </w:pPr>
      <w:r>
        <w:rPr>
          <w:rFonts w:ascii="Arial" w:cs="Arial" w:eastAsia="Arial" w:hAnsi="Arial"/>
          <w:sz w:val="15"/>
          <w:szCs w:val="15"/>
          <w:color w:val="auto"/>
        </w:rPr>
        <w:t>Our option and foreign exchange forward contracts outstanding as of the respective period-ends are summarized in U.S. dollar equivalents as follows (in millions):</w:t>
      </w:r>
    </w:p>
    <w:tbl>
      <w:tblPr>
        <w:tblLayout w:type="fixed"/>
        <w:tblInd w:w="0" w:type="dxa"/>
        <w:tblCellMar>
          <w:top w:w="0" w:type="dxa"/>
          <w:left w:w="0" w:type="dxa"/>
          <w:bottom w:w="0" w:type="dxa"/>
          <w:right w:w="0" w:type="dxa"/>
        </w:tblCellMar>
      </w:tblPr>
      <w:tr>
        <w:trPr>
          <w:trHeight w:val="179"/>
        </w:trPr>
        <w:tc>
          <w:tcPr>
            <w:tcW w:w="494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2340" w:type="dxa"/>
            <w:vAlign w:val="bottom"/>
            <w:tcBorders>
              <w:bottom w:val="single" w:sz="8" w:color="auto"/>
            </w:tcBorders>
            <w:gridSpan w:val="3"/>
          </w:tcPr>
          <w:p>
            <w:pPr>
              <w:jc w:val="right"/>
              <w:ind w:right="596"/>
              <w:spacing w:after="0"/>
              <w:rPr>
                <w:sz w:val="20"/>
                <w:szCs w:val="20"/>
                <w:color w:val="auto"/>
              </w:rPr>
            </w:pPr>
            <w:r>
              <w:rPr>
                <w:rFonts w:ascii="Arial" w:cs="Arial" w:eastAsia="Arial" w:hAnsi="Arial"/>
                <w:sz w:val="13"/>
                <w:szCs w:val="13"/>
                <w:b w:val="1"/>
                <w:bCs w:val="1"/>
                <w:color w:val="auto"/>
              </w:rPr>
              <w:t>April 30, 2023</w:t>
            </w:r>
          </w:p>
        </w:tc>
        <w:tc>
          <w:tcPr>
            <w:tcW w:w="32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2660" w:type="dxa"/>
            <w:vAlign w:val="bottom"/>
            <w:tcBorders>
              <w:bottom w:val="single" w:sz="8" w:color="auto"/>
            </w:tcBorders>
            <w:gridSpan w:val="4"/>
          </w:tcPr>
          <w:p>
            <w:pPr>
              <w:jc w:val="right"/>
              <w:ind w:right="811"/>
              <w:spacing w:after="0"/>
              <w:rPr>
                <w:sz w:val="20"/>
                <w:szCs w:val="20"/>
                <w:color w:val="auto"/>
              </w:rPr>
            </w:pPr>
            <w:r>
              <w:rPr>
                <w:rFonts w:ascii="Arial" w:cs="Arial" w:eastAsia="Arial" w:hAnsi="Arial"/>
                <w:sz w:val="13"/>
                <w:szCs w:val="13"/>
                <w:b w:val="1"/>
                <w:bCs w:val="1"/>
                <w:color w:val="auto"/>
              </w:rPr>
              <w:t>January 31, 2023</w:t>
            </w:r>
          </w:p>
        </w:tc>
      </w:tr>
      <w:tr>
        <w:trPr>
          <w:trHeight w:val="167"/>
        </w:trPr>
        <w:tc>
          <w:tcPr>
            <w:tcW w:w="4940" w:type="dxa"/>
            <w:vAlign w:val="bottom"/>
            <w:tcBorders>
              <w:bottom w:val="single" w:sz="8" w:color="CCEEFF"/>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1220" w:type="dxa"/>
            <w:vAlign w:val="bottom"/>
            <w:tcBorders>
              <w:bottom w:val="single" w:sz="8" w:color="auto"/>
            </w:tcBorders>
          </w:tcPr>
          <w:p>
            <w:pPr>
              <w:jc w:val="right"/>
              <w:ind w:right="92"/>
              <w:spacing w:after="0"/>
              <w:rPr>
                <w:sz w:val="20"/>
                <w:szCs w:val="20"/>
                <w:color w:val="auto"/>
              </w:rPr>
            </w:pPr>
            <w:r>
              <w:rPr>
                <w:rFonts w:ascii="Arial" w:cs="Arial" w:eastAsia="Arial" w:hAnsi="Arial"/>
                <w:sz w:val="13"/>
                <w:szCs w:val="13"/>
                <w:b w:val="1"/>
                <w:bCs w:val="1"/>
                <w:color w:val="auto"/>
                <w:w w:val="99"/>
              </w:rPr>
              <w:t>Notional Amount</w:t>
            </w:r>
          </w:p>
        </w:tc>
        <w:tc>
          <w:tcPr>
            <w:tcW w:w="100" w:type="dxa"/>
            <w:vAlign w:val="bottom"/>
            <w:tcBorders>
              <w:bottom w:val="single" w:sz="8" w:color="CCEEFF"/>
            </w:tcBorders>
          </w:tcPr>
          <w:p>
            <w:pPr>
              <w:spacing w:after="0"/>
              <w:rPr>
                <w:sz w:val="14"/>
                <w:szCs w:val="14"/>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Fair Value</w:t>
            </w:r>
          </w:p>
        </w:tc>
        <w:tc>
          <w:tcPr>
            <w:tcW w:w="320" w:type="dxa"/>
            <w:vAlign w:val="bottom"/>
            <w:tcBorders>
              <w:bottom w:val="single" w:sz="8" w:color="auto"/>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1240" w:type="dxa"/>
            <w:vAlign w:val="bottom"/>
            <w:tcBorders>
              <w:bottom w:val="single" w:sz="8" w:color="auto"/>
            </w:tcBorders>
          </w:tcPr>
          <w:p>
            <w:pPr>
              <w:jc w:val="right"/>
              <w:ind w:right="92"/>
              <w:spacing w:after="0"/>
              <w:rPr>
                <w:sz w:val="20"/>
                <w:szCs w:val="20"/>
                <w:color w:val="auto"/>
              </w:rPr>
            </w:pPr>
            <w:r>
              <w:rPr>
                <w:rFonts w:ascii="Arial" w:cs="Arial" w:eastAsia="Arial" w:hAnsi="Arial"/>
                <w:sz w:val="13"/>
                <w:szCs w:val="13"/>
                <w:b w:val="1"/>
                <w:bCs w:val="1"/>
                <w:color w:val="auto"/>
              </w:rPr>
              <w:t>Notional Amount</w:t>
            </w:r>
          </w:p>
        </w:tc>
        <w:tc>
          <w:tcPr>
            <w:tcW w:w="80" w:type="dxa"/>
            <w:vAlign w:val="bottom"/>
            <w:tcBorders>
              <w:bottom w:val="single" w:sz="8" w:color="CCEEFF"/>
            </w:tcBorders>
          </w:tcPr>
          <w:p>
            <w:pPr>
              <w:spacing w:after="0"/>
              <w:rPr>
                <w:sz w:val="14"/>
                <w:szCs w:val="14"/>
                <w:color w:val="auto"/>
              </w:rPr>
            </w:pPr>
          </w:p>
        </w:tc>
        <w:tc>
          <w:tcPr>
            <w:tcW w:w="24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jc w:val="right"/>
              <w:ind w:right="291"/>
              <w:spacing w:after="0"/>
              <w:rPr>
                <w:sz w:val="20"/>
                <w:szCs w:val="20"/>
                <w:color w:val="auto"/>
              </w:rPr>
            </w:pPr>
            <w:r>
              <w:rPr>
                <w:rFonts w:ascii="Arial" w:cs="Arial" w:eastAsia="Arial" w:hAnsi="Arial"/>
                <w:sz w:val="13"/>
                <w:szCs w:val="13"/>
                <w:b w:val="1"/>
                <w:bCs w:val="1"/>
                <w:color w:val="auto"/>
              </w:rPr>
              <w:t>Fair Value</w:t>
            </w:r>
          </w:p>
        </w:tc>
      </w:tr>
      <w:tr>
        <w:trPr>
          <w:trHeight w:val="167"/>
        </w:trPr>
        <w:tc>
          <w:tcPr>
            <w:tcW w:w="4940" w:type="dxa"/>
            <w:vAlign w:val="bottom"/>
            <w:shd w:val="clear" w:color="auto" w:fill="CCEEFF"/>
          </w:tcPr>
          <w:p>
            <w:pPr>
              <w:ind w:left="20"/>
              <w:spacing w:after="0"/>
              <w:rPr>
                <w:sz w:val="20"/>
                <w:szCs w:val="20"/>
                <w:color w:val="auto"/>
              </w:rPr>
            </w:pPr>
            <w:r>
              <w:rPr>
                <w:rFonts w:ascii="Arial" w:cs="Arial" w:eastAsia="Arial" w:hAnsi="Arial"/>
                <w:sz w:val="14"/>
                <w:szCs w:val="14"/>
                <w:color w:val="auto"/>
              </w:rPr>
              <w:t>Forward Contracts:</w:t>
            </w:r>
          </w:p>
        </w:tc>
        <w:tc>
          <w:tcPr>
            <w:tcW w:w="120" w:type="dxa"/>
            <w:vAlign w:val="bottom"/>
            <w:shd w:val="clear" w:color="auto" w:fill="CCEEFF"/>
          </w:tcPr>
          <w:p>
            <w:pPr>
              <w:spacing w:after="0"/>
              <w:rPr>
                <w:sz w:val="14"/>
                <w:szCs w:val="14"/>
                <w:color w:val="auto"/>
              </w:rPr>
            </w:pPr>
          </w:p>
        </w:tc>
        <w:tc>
          <w:tcPr>
            <w:tcW w:w="122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020" w:type="dxa"/>
            <w:vAlign w:val="bottom"/>
            <w:shd w:val="clear" w:color="auto" w:fill="CCEEFF"/>
          </w:tcPr>
          <w:p>
            <w:pPr>
              <w:spacing w:after="0"/>
              <w:rPr>
                <w:sz w:val="14"/>
                <w:szCs w:val="14"/>
                <w:color w:val="auto"/>
              </w:rPr>
            </w:pPr>
          </w:p>
        </w:tc>
        <w:tc>
          <w:tcPr>
            <w:tcW w:w="3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120" w:type="dxa"/>
            <w:vAlign w:val="bottom"/>
            <w:shd w:val="clear" w:color="auto" w:fill="CCEEFF"/>
          </w:tcPr>
          <w:p>
            <w:pPr>
              <w:spacing w:after="0"/>
              <w:rPr>
                <w:sz w:val="14"/>
                <w:szCs w:val="14"/>
                <w:color w:val="auto"/>
              </w:rPr>
            </w:pPr>
          </w:p>
        </w:tc>
        <w:tc>
          <w:tcPr>
            <w:tcW w:w="124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240" w:type="dxa"/>
            <w:vAlign w:val="bottom"/>
            <w:shd w:val="clear" w:color="auto" w:fill="CCEEFF"/>
          </w:tcPr>
          <w:p>
            <w:pPr>
              <w:spacing w:after="0"/>
              <w:rPr>
                <w:sz w:val="14"/>
                <w:szCs w:val="14"/>
                <w:color w:val="auto"/>
              </w:rPr>
            </w:pPr>
          </w:p>
        </w:tc>
        <w:tc>
          <w:tcPr>
            <w:tcW w:w="1100" w:type="dxa"/>
            <w:vAlign w:val="bottom"/>
            <w:shd w:val="clear" w:color="auto" w:fill="CCEEFF"/>
          </w:tcPr>
          <w:p>
            <w:pPr>
              <w:spacing w:after="0"/>
              <w:rPr>
                <w:sz w:val="14"/>
                <w:szCs w:val="14"/>
                <w:color w:val="auto"/>
              </w:rPr>
            </w:pPr>
          </w:p>
        </w:tc>
      </w:tr>
      <w:tr>
        <w:trPr>
          <w:trHeight w:val="185"/>
        </w:trPr>
        <w:tc>
          <w:tcPr>
            <w:tcW w:w="4940" w:type="dxa"/>
            <w:vAlign w:val="bottom"/>
          </w:tcPr>
          <w:p>
            <w:pPr>
              <w:ind w:left="200"/>
              <w:spacing w:after="0"/>
              <w:rPr>
                <w:sz w:val="20"/>
                <w:szCs w:val="20"/>
                <w:color w:val="auto"/>
              </w:rPr>
            </w:pPr>
            <w:r>
              <w:rPr>
                <w:rFonts w:ascii="Arial" w:cs="Arial" w:eastAsia="Arial" w:hAnsi="Arial"/>
                <w:sz w:val="14"/>
                <w:szCs w:val="14"/>
                <w:color w:val="auto"/>
              </w:rPr>
              <w:t>Purchased</w:t>
            </w:r>
          </w:p>
        </w:tc>
        <w:tc>
          <w:tcPr>
            <w:tcW w:w="120" w:type="dxa"/>
            <w:vAlign w:val="bottom"/>
          </w:tcPr>
          <w:p>
            <w:pPr>
              <w:jc w:val="right"/>
              <w:spacing w:after="0"/>
              <w:rPr>
                <w:sz w:val="20"/>
                <w:szCs w:val="20"/>
                <w:color w:val="auto"/>
              </w:rPr>
            </w:pPr>
            <w:r>
              <w:rPr>
                <w:rFonts w:ascii="Arial" w:cs="Arial" w:eastAsia="Arial" w:hAnsi="Arial"/>
                <w:sz w:val="14"/>
                <w:szCs w:val="14"/>
                <w:color w:val="auto"/>
                <w:w w:val="76"/>
              </w:rPr>
              <w:t>$</w:t>
            </w:r>
          </w:p>
        </w:tc>
        <w:tc>
          <w:tcPr>
            <w:tcW w:w="1220" w:type="dxa"/>
            <w:vAlign w:val="bottom"/>
          </w:tcPr>
          <w:p>
            <w:pPr>
              <w:jc w:val="right"/>
              <w:spacing w:after="0"/>
              <w:rPr>
                <w:sz w:val="20"/>
                <w:szCs w:val="20"/>
                <w:color w:val="auto"/>
              </w:rPr>
            </w:pPr>
            <w:r>
              <w:rPr>
                <w:rFonts w:ascii="Arial" w:cs="Arial" w:eastAsia="Arial" w:hAnsi="Arial"/>
                <w:sz w:val="14"/>
                <w:szCs w:val="14"/>
                <w:color w:val="auto"/>
              </w:rPr>
              <w:t>797</w:t>
            </w:r>
          </w:p>
        </w:tc>
        <w:tc>
          <w:tcPr>
            <w:tcW w:w="1120" w:type="dxa"/>
            <w:vAlign w:val="bottom"/>
            <w:gridSpan w:val="2"/>
          </w:tcPr>
          <w:p>
            <w:pPr>
              <w:jc w:val="right"/>
              <w:ind w:right="876"/>
              <w:spacing w:after="0"/>
              <w:rPr>
                <w:sz w:val="20"/>
                <w:szCs w:val="20"/>
                <w:color w:val="auto"/>
              </w:rPr>
            </w:pPr>
            <w:r>
              <w:rPr>
                <w:rFonts w:ascii="Arial" w:cs="Arial" w:eastAsia="Arial" w:hAnsi="Arial"/>
                <w:sz w:val="14"/>
                <w:szCs w:val="14"/>
                <w:color w:val="auto"/>
              </w:rPr>
              <w:t>$</w:t>
            </w:r>
          </w:p>
        </w:tc>
        <w:tc>
          <w:tcPr>
            <w:tcW w:w="320" w:type="dxa"/>
            <w:vAlign w:val="bottom"/>
          </w:tcPr>
          <w:p>
            <w:pPr>
              <w:jc w:val="right"/>
              <w:ind w:right="10"/>
              <w:spacing w:after="0"/>
              <w:rPr>
                <w:sz w:val="20"/>
                <w:szCs w:val="20"/>
                <w:color w:val="auto"/>
              </w:rPr>
            </w:pPr>
            <w:r>
              <w:rPr>
                <w:rFonts w:ascii="Arial" w:cs="Arial" w:eastAsia="Arial" w:hAnsi="Arial"/>
                <w:sz w:val="14"/>
                <w:szCs w:val="14"/>
                <w:color w:val="auto"/>
              </w:rPr>
              <w:t>3</w:t>
            </w:r>
          </w:p>
        </w:tc>
        <w:tc>
          <w:tcPr>
            <w:tcW w:w="200" w:type="dxa"/>
            <w:vAlign w:val="bottom"/>
            <w:gridSpan w:val="2"/>
          </w:tcPr>
          <w:p>
            <w:pPr>
              <w:jc w:val="right"/>
              <w:ind w:right="20"/>
              <w:spacing w:after="0"/>
              <w:rPr>
                <w:sz w:val="20"/>
                <w:szCs w:val="20"/>
                <w:color w:val="auto"/>
              </w:rPr>
            </w:pPr>
            <w:r>
              <w:rPr>
                <w:rFonts w:ascii="Arial" w:cs="Arial" w:eastAsia="Arial" w:hAnsi="Arial"/>
                <w:sz w:val="14"/>
                <w:szCs w:val="14"/>
                <w:color w:val="auto"/>
              </w:rPr>
              <w:t>$</w:t>
            </w:r>
          </w:p>
        </w:tc>
        <w:tc>
          <w:tcPr>
            <w:tcW w:w="1240" w:type="dxa"/>
            <w:vAlign w:val="bottom"/>
          </w:tcPr>
          <w:p>
            <w:pPr>
              <w:jc w:val="right"/>
              <w:ind w:right="12"/>
              <w:spacing w:after="0"/>
              <w:rPr>
                <w:sz w:val="20"/>
                <w:szCs w:val="20"/>
                <w:color w:val="auto"/>
              </w:rPr>
            </w:pPr>
            <w:r>
              <w:rPr>
                <w:rFonts w:ascii="Arial" w:cs="Arial" w:eastAsia="Arial" w:hAnsi="Arial"/>
                <w:sz w:val="14"/>
                <w:szCs w:val="14"/>
                <w:color w:val="auto"/>
              </w:rPr>
              <w:t>711</w:t>
            </w:r>
          </w:p>
        </w:tc>
        <w:tc>
          <w:tcPr>
            <w:tcW w:w="320" w:type="dxa"/>
            <w:vAlign w:val="bottom"/>
            <w:gridSpan w:val="2"/>
          </w:tcPr>
          <w:p>
            <w:pPr>
              <w:jc w:val="right"/>
              <w:ind w:right="140"/>
              <w:spacing w:after="0"/>
              <w:rPr>
                <w:sz w:val="20"/>
                <w:szCs w:val="20"/>
                <w:color w:val="auto"/>
              </w:rPr>
            </w:pPr>
            <w:r>
              <w:rPr>
                <w:rFonts w:ascii="Arial" w:cs="Arial" w:eastAsia="Arial" w:hAnsi="Arial"/>
                <w:sz w:val="14"/>
                <w:szCs w:val="14"/>
                <w:color w:val="auto"/>
              </w:rPr>
              <w:t>$</w:t>
            </w:r>
          </w:p>
        </w:tc>
        <w:tc>
          <w:tcPr>
            <w:tcW w:w="1100" w:type="dxa"/>
            <w:vAlign w:val="bottom"/>
          </w:tcPr>
          <w:p>
            <w:pPr>
              <w:jc w:val="right"/>
              <w:ind w:right="11"/>
              <w:spacing w:after="0"/>
              <w:rPr>
                <w:sz w:val="20"/>
                <w:szCs w:val="20"/>
                <w:color w:val="auto"/>
              </w:rPr>
            </w:pPr>
            <w:r>
              <w:rPr>
                <w:rFonts w:ascii="Arial" w:cs="Arial" w:eastAsia="Arial" w:hAnsi="Arial"/>
                <w:sz w:val="14"/>
                <w:szCs w:val="14"/>
                <w:color w:val="auto"/>
              </w:rPr>
              <w:t>13</w:t>
            </w:r>
          </w:p>
        </w:tc>
      </w:tr>
      <w:tr>
        <w:trPr>
          <w:trHeight w:val="190"/>
        </w:trPr>
        <w:tc>
          <w:tcPr>
            <w:tcW w:w="4940" w:type="dxa"/>
            <w:vAlign w:val="bottom"/>
            <w:shd w:val="clear" w:color="auto" w:fill="CCEEFF"/>
          </w:tcPr>
          <w:p>
            <w:pPr>
              <w:ind w:left="200"/>
              <w:spacing w:after="0"/>
              <w:rPr>
                <w:sz w:val="20"/>
                <w:szCs w:val="20"/>
                <w:color w:val="auto"/>
              </w:rPr>
            </w:pPr>
            <w:r>
              <w:rPr>
                <w:rFonts w:ascii="Arial" w:cs="Arial" w:eastAsia="Arial" w:hAnsi="Arial"/>
                <w:sz w:val="14"/>
                <w:szCs w:val="14"/>
                <w:color w:val="auto"/>
              </w:rPr>
              <w:t>Sold</w:t>
            </w:r>
          </w:p>
        </w:tc>
        <w:tc>
          <w:tcPr>
            <w:tcW w:w="120" w:type="dxa"/>
            <w:vAlign w:val="bottom"/>
            <w:shd w:val="clear" w:color="auto" w:fill="CCEEFF"/>
          </w:tcPr>
          <w:p>
            <w:pPr>
              <w:spacing w:after="0"/>
              <w:rPr>
                <w:sz w:val="16"/>
                <w:szCs w:val="16"/>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1,027</w:t>
            </w:r>
          </w:p>
        </w:tc>
        <w:tc>
          <w:tcPr>
            <w:tcW w:w="100" w:type="dxa"/>
            <w:vAlign w:val="bottom"/>
            <w:shd w:val="clear" w:color="auto" w:fill="CCEEFF"/>
          </w:tcPr>
          <w:p>
            <w:pPr>
              <w:spacing w:after="0"/>
              <w:rPr>
                <w:sz w:val="16"/>
                <w:szCs w:val="16"/>
                <w:color w:val="auto"/>
              </w:rPr>
            </w:pPr>
          </w:p>
        </w:tc>
        <w:tc>
          <w:tcPr>
            <w:tcW w:w="1020" w:type="dxa"/>
            <w:vAlign w:val="bottom"/>
            <w:shd w:val="clear" w:color="auto" w:fill="CCEEFF"/>
          </w:tcPr>
          <w:p>
            <w:pPr>
              <w:spacing w:after="0"/>
              <w:rPr>
                <w:sz w:val="16"/>
                <w:szCs w:val="16"/>
                <w:color w:val="auto"/>
              </w:rPr>
            </w:pPr>
          </w:p>
        </w:tc>
        <w:tc>
          <w:tcPr>
            <w:tcW w:w="3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w:t>
            </w: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24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1,755</w:t>
            </w:r>
          </w:p>
        </w:tc>
        <w:tc>
          <w:tcPr>
            <w:tcW w:w="8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w:t>
            </w:r>
          </w:p>
        </w:tc>
      </w:tr>
      <w:tr>
        <w:trPr>
          <w:trHeight w:val="185"/>
        </w:trPr>
        <w:tc>
          <w:tcPr>
            <w:tcW w:w="4940" w:type="dxa"/>
            <w:vAlign w:val="bottom"/>
          </w:tcPr>
          <w:p>
            <w:pPr>
              <w:ind w:left="20"/>
              <w:spacing w:after="0"/>
              <w:rPr>
                <w:sz w:val="20"/>
                <w:szCs w:val="20"/>
                <w:color w:val="auto"/>
              </w:rPr>
            </w:pPr>
            <w:r>
              <w:rPr>
                <w:rFonts w:ascii="Arial" w:cs="Arial" w:eastAsia="Arial" w:hAnsi="Arial"/>
                <w:sz w:val="14"/>
                <w:szCs w:val="14"/>
                <w:color w:val="auto"/>
              </w:rPr>
              <w:t>Option Contracts:</w:t>
            </w:r>
          </w:p>
        </w:tc>
        <w:tc>
          <w:tcPr>
            <w:tcW w:w="12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2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100" w:type="dxa"/>
            <w:vAlign w:val="bottom"/>
          </w:tcPr>
          <w:p>
            <w:pPr>
              <w:spacing w:after="0"/>
              <w:rPr>
                <w:sz w:val="16"/>
                <w:szCs w:val="16"/>
                <w:color w:val="auto"/>
              </w:rPr>
            </w:pPr>
          </w:p>
        </w:tc>
      </w:tr>
      <w:tr>
        <w:trPr>
          <w:trHeight w:val="190"/>
        </w:trPr>
        <w:tc>
          <w:tcPr>
            <w:tcW w:w="4940" w:type="dxa"/>
            <w:vAlign w:val="bottom"/>
            <w:shd w:val="clear" w:color="auto" w:fill="CCEEFF"/>
          </w:tcPr>
          <w:p>
            <w:pPr>
              <w:ind w:left="200"/>
              <w:spacing w:after="0"/>
              <w:rPr>
                <w:sz w:val="20"/>
                <w:szCs w:val="20"/>
                <w:color w:val="auto"/>
              </w:rPr>
            </w:pPr>
            <w:r>
              <w:rPr>
                <w:rFonts w:ascii="Arial" w:cs="Arial" w:eastAsia="Arial" w:hAnsi="Arial"/>
                <w:sz w:val="14"/>
                <w:szCs w:val="14"/>
                <w:color w:val="auto"/>
              </w:rPr>
              <w:t>Purchased</w:t>
            </w:r>
          </w:p>
        </w:tc>
        <w:tc>
          <w:tcPr>
            <w:tcW w:w="120" w:type="dxa"/>
            <w:vAlign w:val="bottom"/>
            <w:shd w:val="clear" w:color="auto" w:fill="CCEEFF"/>
          </w:tcPr>
          <w:p>
            <w:pPr>
              <w:spacing w:after="0"/>
              <w:rPr>
                <w:sz w:val="16"/>
                <w:szCs w:val="16"/>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4"/>
                <w:szCs w:val="14"/>
                <w:color w:val="auto"/>
              </w:rPr>
              <w:t>975</w:t>
            </w:r>
          </w:p>
        </w:tc>
        <w:tc>
          <w:tcPr>
            <w:tcW w:w="100" w:type="dxa"/>
            <w:vAlign w:val="bottom"/>
            <w:shd w:val="clear" w:color="auto" w:fill="CCEEFF"/>
          </w:tcPr>
          <w:p>
            <w:pPr>
              <w:spacing w:after="0"/>
              <w:rPr>
                <w:sz w:val="16"/>
                <w:szCs w:val="16"/>
                <w:color w:val="auto"/>
              </w:rPr>
            </w:pPr>
          </w:p>
        </w:tc>
        <w:tc>
          <w:tcPr>
            <w:tcW w:w="1020" w:type="dxa"/>
            <w:vAlign w:val="bottom"/>
            <w:shd w:val="clear" w:color="auto" w:fill="CCEEFF"/>
          </w:tcPr>
          <w:p>
            <w:pPr>
              <w:spacing w:after="0"/>
              <w:rPr>
                <w:sz w:val="16"/>
                <w:szCs w:val="16"/>
                <w:color w:val="auto"/>
              </w:rPr>
            </w:pPr>
          </w:p>
        </w:tc>
        <w:tc>
          <w:tcPr>
            <w:tcW w:w="320" w:type="dxa"/>
            <w:vAlign w:val="bottom"/>
            <w:shd w:val="clear" w:color="auto" w:fill="CCEEFF"/>
          </w:tcPr>
          <w:p>
            <w:pPr>
              <w:jc w:val="right"/>
              <w:ind w:right="10"/>
              <w:spacing w:after="0"/>
              <w:rPr>
                <w:sz w:val="20"/>
                <w:szCs w:val="20"/>
                <w:color w:val="auto"/>
              </w:rPr>
            </w:pPr>
            <w:r>
              <w:rPr>
                <w:rFonts w:ascii="Arial" w:cs="Arial" w:eastAsia="Arial" w:hAnsi="Arial"/>
                <w:sz w:val="14"/>
                <w:szCs w:val="14"/>
                <w:color w:val="auto"/>
              </w:rPr>
              <w:t>7</w:t>
            </w:r>
          </w:p>
        </w:tc>
        <w:tc>
          <w:tcPr>
            <w:tcW w:w="80" w:type="dxa"/>
            <w:vAlign w:val="bottom"/>
            <w:shd w:val="clear" w:color="auto" w:fill="CCEEFF"/>
          </w:tcPr>
          <w:p>
            <w:pPr>
              <w:spacing w:after="0"/>
              <w:rPr>
                <w:sz w:val="16"/>
                <w:szCs w:val="16"/>
                <w:color w:val="auto"/>
              </w:rPr>
            </w:pPr>
          </w:p>
        </w:tc>
        <w:tc>
          <w:tcPr>
            <w:tcW w:w="120" w:type="dxa"/>
            <w:vAlign w:val="bottom"/>
            <w:shd w:val="clear" w:color="auto" w:fill="CCEEFF"/>
          </w:tcPr>
          <w:p>
            <w:pPr>
              <w:spacing w:after="0"/>
              <w:rPr>
                <w:sz w:val="16"/>
                <w:szCs w:val="16"/>
                <w:color w:val="auto"/>
              </w:rPr>
            </w:pPr>
          </w:p>
        </w:tc>
        <w:tc>
          <w:tcPr>
            <w:tcW w:w="1240" w:type="dxa"/>
            <w:vAlign w:val="bottom"/>
            <w:shd w:val="clear" w:color="auto" w:fill="CCEEFF"/>
          </w:tcPr>
          <w:p>
            <w:pPr>
              <w:jc w:val="right"/>
              <w:ind w:right="12"/>
              <w:spacing w:after="0"/>
              <w:rPr>
                <w:sz w:val="20"/>
                <w:szCs w:val="20"/>
                <w:color w:val="auto"/>
              </w:rPr>
            </w:pPr>
            <w:r>
              <w:rPr>
                <w:rFonts w:ascii="Arial" w:cs="Arial" w:eastAsia="Arial" w:hAnsi="Arial"/>
                <w:sz w:val="14"/>
                <w:szCs w:val="14"/>
                <w:color w:val="auto"/>
              </w:rPr>
              <w:t>904</w:t>
            </w:r>
          </w:p>
        </w:tc>
        <w:tc>
          <w:tcPr>
            <w:tcW w:w="8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1100" w:type="dxa"/>
            <w:vAlign w:val="bottom"/>
            <w:shd w:val="clear" w:color="auto" w:fill="CCEEFF"/>
          </w:tcPr>
          <w:p>
            <w:pPr>
              <w:jc w:val="right"/>
              <w:ind w:right="11"/>
              <w:spacing w:after="0"/>
              <w:rPr>
                <w:sz w:val="20"/>
                <w:szCs w:val="20"/>
                <w:color w:val="auto"/>
              </w:rPr>
            </w:pPr>
            <w:r>
              <w:rPr>
                <w:rFonts w:ascii="Arial" w:cs="Arial" w:eastAsia="Arial" w:hAnsi="Arial"/>
                <w:sz w:val="14"/>
                <w:szCs w:val="14"/>
                <w:color w:val="auto"/>
              </w:rPr>
              <w:t>5</w:t>
            </w:r>
          </w:p>
        </w:tc>
      </w:tr>
      <w:tr>
        <w:trPr>
          <w:trHeight w:val="183"/>
        </w:trPr>
        <w:tc>
          <w:tcPr>
            <w:tcW w:w="4940" w:type="dxa"/>
            <w:vAlign w:val="bottom"/>
          </w:tcPr>
          <w:p>
            <w:pPr>
              <w:ind w:left="200"/>
              <w:spacing w:after="0"/>
              <w:rPr>
                <w:sz w:val="20"/>
                <w:szCs w:val="20"/>
                <w:color w:val="auto"/>
              </w:rPr>
            </w:pPr>
            <w:r>
              <w:rPr>
                <w:rFonts w:ascii="Arial" w:cs="Arial" w:eastAsia="Arial" w:hAnsi="Arial"/>
                <w:sz w:val="14"/>
                <w:szCs w:val="14"/>
                <w:color w:val="auto"/>
              </w:rPr>
              <w:t>Sold</w:t>
            </w:r>
          </w:p>
        </w:tc>
        <w:tc>
          <w:tcPr>
            <w:tcW w:w="120" w:type="dxa"/>
            <w:vAlign w:val="bottom"/>
          </w:tcPr>
          <w:p>
            <w:pPr>
              <w:spacing w:after="0"/>
              <w:rPr>
                <w:sz w:val="15"/>
                <w:szCs w:val="15"/>
                <w:color w:val="auto"/>
              </w:rPr>
            </w:pPr>
          </w:p>
        </w:tc>
        <w:tc>
          <w:tcPr>
            <w:tcW w:w="1220" w:type="dxa"/>
            <w:vAlign w:val="bottom"/>
          </w:tcPr>
          <w:p>
            <w:pPr>
              <w:jc w:val="right"/>
              <w:spacing w:after="0"/>
              <w:rPr>
                <w:sz w:val="20"/>
                <w:szCs w:val="20"/>
                <w:color w:val="auto"/>
              </w:rPr>
            </w:pPr>
            <w:r>
              <w:rPr>
                <w:rFonts w:ascii="Arial" w:cs="Arial" w:eastAsia="Arial" w:hAnsi="Arial"/>
                <w:sz w:val="14"/>
                <w:szCs w:val="14"/>
                <w:color w:val="auto"/>
              </w:rPr>
              <w:t>1,056</w:t>
            </w:r>
          </w:p>
        </w:tc>
        <w:tc>
          <w:tcPr>
            <w:tcW w:w="100" w:type="dxa"/>
            <w:vAlign w:val="bottom"/>
          </w:tcPr>
          <w:p>
            <w:pPr>
              <w:spacing w:after="0"/>
              <w:rPr>
                <w:sz w:val="15"/>
                <w:szCs w:val="15"/>
                <w:color w:val="auto"/>
              </w:rPr>
            </w:pPr>
          </w:p>
        </w:tc>
        <w:tc>
          <w:tcPr>
            <w:tcW w:w="1020" w:type="dxa"/>
            <w:vAlign w:val="bottom"/>
          </w:tcPr>
          <w:p>
            <w:pPr>
              <w:spacing w:after="0"/>
              <w:rPr>
                <w:sz w:val="15"/>
                <w:szCs w:val="15"/>
                <w:color w:val="auto"/>
              </w:rPr>
            </w:pPr>
          </w:p>
        </w:tc>
        <w:tc>
          <w:tcPr>
            <w:tcW w:w="320" w:type="dxa"/>
            <w:vAlign w:val="bottom"/>
          </w:tcPr>
          <w:p>
            <w:pPr>
              <w:jc w:val="right"/>
              <w:spacing w:after="0"/>
              <w:rPr>
                <w:sz w:val="20"/>
                <w:szCs w:val="20"/>
                <w:color w:val="auto"/>
              </w:rPr>
            </w:pPr>
            <w:r>
              <w:rPr>
                <w:rFonts w:ascii="Arial" w:cs="Arial" w:eastAsia="Arial" w:hAnsi="Arial"/>
                <w:sz w:val="14"/>
                <w:szCs w:val="14"/>
                <w:color w:val="auto"/>
              </w:rPr>
              <w:t>(15)</w:t>
            </w: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240" w:type="dxa"/>
            <w:vAlign w:val="bottom"/>
          </w:tcPr>
          <w:p>
            <w:pPr>
              <w:jc w:val="right"/>
              <w:ind w:right="12"/>
              <w:spacing w:after="0"/>
              <w:rPr>
                <w:sz w:val="20"/>
                <w:szCs w:val="20"/>
                <w:color w:val="auto"/>
              </w:rPr>
            </w:pPr>
            <w:r>
              <w:rPr>
                <w:rFonts w:ascii="Arial" w:cs="Arial" w:eastAsia="Arial" w:hAnsi="Arial"/>
                <w:sz w:val="14"/>
                <w:szCs w:val="14"/>
                <w:color w:val="auto"/>
              </w:rPr>
              <w:t>974</w:t>
            </w:r>
          </w:p>
        </w:tc>
        <w:tc>
          <w:tcPr>
            <w:tcW w:w="8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1100" w:type="dxa"/>
            <w:vAlign w:val="bottom"/>
          </w:tcPr>
          <w:p>
            <w:pPr>
              <w:jc w:val="right"/>
              <w:spacing w:after="0"/>
              <w:rPr>
                <w:sz w:val="20"/>
                <w:szCs w:val="20"/>
                <w:color w:val="auto"/>
              </w:rPr>
            </w:pPr>
            <w:r>
              <w:rPr>
                <w:rFonts w:ascii="Arial" w:cs="Arial" w:eastAsia="Arial" w:hAnsi="Arial"/>
                <w:sz w:val="14"/>
                <w:szCs w:val="14"/>
                <w:color w:val="auto"/>
              </w:rPr>
              <w:t>(23)</w:t>
            </w:r>
          </w:p>
        </w:tc>
      </w:tr>
    </w:tbl>
    <w:p>
      <w:pPr>
        <w:spacing w:after="0" w:line="291" w:lineRule="exact"/>
        <w:rPr>
          <w:sz w:val="20"/>
          <w:szCs w:val="20"/>
          <w:color w:val="auto"/>
        </w:rPr>
      </w:pPr>
    </w:p>
    <w:p>
      <w:pPr>
        <w:ind w:right="120" w:firstLine="387"/>
        <w:spacing w:after="0" w:line="253" w:lineRule="auto"/>
        <w:rPr>
          <w:sz w:val="20"/>
          <w:szCs w:val="20"/>
          <w:color w:val="auto"/>
        </w:rPr>
      </w:pPr>
      <w:r>
        <w:rPr>
          <w:rFonts w:ascii="Arial" w:cs="Arial" w:eastAsia="Arial" w:hAnsi="Arial"/>
          <w:sz w:val="15"/>
          <w:szCs w:val="15"/>
          <w:color w:val="auto"/>
        </w:rPr>
        <w:t>We use foreign currency contracts to reduce the exchange rate impact on the net revenue and operating expenses of certain anticipated transactions. A hypothetical 10% appreciation of the U.S. dollar from its value at April 30, 2023, and January 31, 2023, would increase the fair value of our foreign currency contracts by $81 million and $149 million, respectively. A hypothetical 10% depreciation of the dollar from its value at April 30, 2023, and January 31, 2023, would decrease the fair value of our foreign currency contracts by $96 million and $191 million, respectively.</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Interest Rate Risk</w:t>
      </w:r>
    </w:p>
    <w:p>
      <w:pPr>
        <w:spacing w:after="0" w:line="234" w:lineRule="exact"/>
        <w:rPr>
          <w:sz w:val="20"/>
          <w:szCs w:val="20"/>
          <w:color w:val="auto"/>
        </w:rPr>
      </w:pPr>
    </w:p>
    <w:p>
      <w:pPr>
        <w:ind w:right="140" w:firstLine="387"/>
        <w:spacing w:after="0" w:line="253" w:lineRule="auto"/>
        <w:rPr>
          <w:sz w:val="20"/>
          <w:szCs w:val="20"/>
          <w:color w:val="auto"/>
        </w:rPr>
      </w:pPr>
      <w:r>
        <w:rPr>
          <w:rFonts w:ascii="Arial" w:cs="Arial" w:eastAsia="Arial" w:hAnsi="Arial"/>
          <w:sz w:val="15"/>
          <w:szCs w:val="15"/>
          <w:color w:val="auto"/>
        </w:rPr>
        <w:t>Interest rate movements affect both the interest income we earn on our short-term investments and the market value of certain longer-term securities. At April 30, 2023, we had $1.34 billion of cash equivalents and marketable securities, including $222 million classified as short-term marketable securities and $185 million classified as long-term marketable securities. If interest rates were to move up or down by 50 or 100 basis points over a 12-month period, the market value change of these securities would not have a material impact on our results of operations.</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Other Market Risk</w:t>
      </w:r>
    </w:p>
    <w:p>
      <w:pPr>
        <w:spacing w:after="0" w:line="234" w:lineRule="exact"/>
        <w:rPr>
          <w:sz w:val="20"/>
          <w:szCs w:val="20"/>
          <w:color w:val="auto"/>
        </w:rPr>
      </w:pPr>
    </w:p>
    <w:p>
      <w:pPr>
        <w:ind w:right="40" w:firstLine="351"/>
        <w:spacing w:after="0" w:line="249" w:lineRule="auto"/>
        <w:rPr>
          <w:sz w:val="20"/>
          <w:szCs w:val="20"/>
          <w:color w:val="auto"/>
        </w:rPr>
      </w:pPr>
      <w:r>
        <w:rPr>
          <w:rFonts w:ascii="Arial" w:cs="Arial" w:eastAsia="Arial" w:hAnsi="Arial"/>
          <w:sz w:val="15"/>
          <w:szCs w:val="15"/>
          <w:color w:val="auto"/>
        </w:rPr>
        <w:t>From time to time, we make direct investments in privately held companies. Privately held company investments generally are considered inherently risky. The technologies and products these companies have under development are typically in the early stages and may never materialize, which could result in a loss of all or a substantial part of our initial investment in these companies. The evaluation of privately held companies is based on information that we request from these companies, which is not subject to the same disclosure regulations as U.S. publicly traded companies, and as such, the basis for these evaluations is subject to the timing and accuracy of the data received from these companies. See Part I, Item 1, “Financial Statements,” Note 5, “Financial Instruments,” in the Notes to Condensed Consolidated Financial Statements for further discussion regarding these strategic investments.</w:t>
      </w: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48" w:name="page49"/>
    <w:bookmarkEnd w:id="48"/>
    <w:p>
      <w:pPr>
        <w:spacing w:after="0"/>
        <w:tabs>
          <w:tab w:leader="none" w:pos="1080" w:val="left"/>
        </w:tabs>
        <w:rPr>
          <w:sz w:val="20"/>
          <w:szCs w:val="20"/>
          <w:color w:val="auto"/>
        </w:rPr>
      </w:pPr>
      <w:r>
        <w:rPr>
          <w:rFonts w:ascii="Arial" w:cs="Arial" w:eastAsia="Arial" w:hAnsi="Arial"/>
          <w:sz w:val="15"/>
          <w:szCs w:val="15"/>
          <w:b w:val="1"/>
          <w:bCs w:val="1"/>
          <w:color w:val="auto"/>
        </w:rPr>
        <w:t>ITEM 4.</w:t>
      </w:r>
      <w:r>
        <w:rPr>
          <w:sz w:val="20"/>
          <w:szCs w:val="20"/>
          <w:color w:val="auto"/>
        </w:rPr>
        <w:tab/>
      </w:r>
      <w:r>
        <w:rPr>
          <w:rFonts w:ascii="Arial" w:cs="Arial" w:eastAsia="Arial" w:hAnsi="Arial"/>
          <w:sz w:val="15"/>
          <w:szCs w:val="15"/>
          <w:b w:val="1"/>
          <w:bCs w:val="1"/>
          <w:color w:val="auto"/>
        </w:rPr>
        <w:t>CONTROLS AND PROCEDURES</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Evaluation of Disclosure Controls and Procedures</w:t>
      </w:r>
    </w:p>
    <w:p>
      <w:pPr>
        <w:spacing w:after="0" w:line="234" w:lineRule="exact"/>
        <w:rPr>
          <w:sz w:val="20"/>
          <w:szCs w:val="20"/>
          <w:color w:val="auto"/>
        </w:rPr>
      </w:pPr>
    </w:p>
    <w:p>
      <w:pPr>
        <w:ind w:right="20" w:firstLine="351"/>
        <w:spacing w:after="0" w:line="251" w:lineRule="auto"/>
        <w:rPr>
          <w:sz w:val="20"/>
          <w:szCs w:val="20"/>
          <w:color w:val="auto"/>
        </w:rPr>
      </w:pPr>
      <w:r>
        <w:rPr>
          <w:rFonts w:ascii="Arial" w:cs="Arial" w:eastAsia="Arial" w:hAnsi="Arial"/>
          <w:sz w:val="15"/>
          <w:szCs w:val="15"/>
          <w:color w:val="auto"/>
        </w:rPr>
        <w:t>We maintain “disclosure controls and procedures,” as defined in Rule 13a-15(e) and 15d-15(e) under the Securities Exchange Act of 1934, as amended (the “Exchange Act”). Our disclosure controls and procedures are designed to ensure that information required to be disclosed in our Exchange Act reports is</w:t>
      </w:r>
    </w:p>
    <w:p>
      <w:pPr>
        <w:spacing w:after="0" w:line="1" w:lineRule="exact"/>
        <w:rPr>
          <w:sz w:val="20"/>
          <w:szCs w:val="20"/>
          <w:color w:val="auto"/>
        </w:rPr>
      </w:pPr>
    </w:p>
    <w:p>
      <w:pPr>
        <w:ind w:right="300" w:firstLine="4"/>
        <w:spacing w:after="0" w:line="247" w:lineRule="auto"/>
        <w:tabs>
          <w:tab w:leader="none" w:pos="177" w:val="left"/>
        </w:tabs>
        <w:numPr>
          <w:ilvl w:val="0"/>
          <w:numId w:val="22"/>
        </w:numPr>
        <w:rPr>
          <w:rFonts w:ascii="Arial" w:cs="Arial" w:eastAsia="Arial" w:hAnsi="Arial"/>
          <w:sz w:val="15"/>
          <w:szCs w:val="15"/>
          <w:color w:val="auto"/>
        </w:rPr>
      </w:pPr>
      <w:r>
        <w:rPr>
          <w:rFonts w:ascii="Arial" w:cs="Arial" w:eastAsia="Arial" w:hAnsi="Arial"/>
          <w:sz w:val="15"/>
          <w:szCs w:val="15"/>
          <w:color w:val="auto"/>
        </w:rPr>
        <w:t>recorded, processed, summarized, and reported within the time periods specified in the rules of the Securities and Exchange Commission, and (ii) accumulated and communicated to Autodesk management, including our CEO and CFO, to allow timely decisions regarding required disclosure. We conducted an evaluation, under the supervision and with the participation of our CEO and CFO, of the effectiveness of the design and operation of our disclosure controls and procedures as of the end of the period covered by this Quarterly Report on Form 10-Q. Based upon this evaluation, our CEO and CFO have concluded that our disclosure controls and procedures were effective to meet the objective for which they were designed and operated at the reasonable assurance level.</w:t>
      </w:r>
    </w:p>
    <w:p>
      <w:pPr>
        <w:spacing w:after="0" w:line="202" w:lineRule="exact"/>
        <w:rPr>
          <w:sz w:val="20"/>
          <w:szCs w:val="20"/>
          <w:color w:val="auto"/>
        </w:rPr>
      </w:pPr>
    </w:p>
    <w:p>
      <w:pPr>
        <w:ind w:right="120" w:firstLine="351"/>
        <w:spacing w:after="0" w:line="249" w:lineRule="auto"/>
        <w:rPr>
          <w:sz w:val="20"/>
          <w:szCs w:val="20"/>
          <w:color w:val="auto"/>
        </w:rPr>
      </w:pPr>
      <w:r>
        <w:rPr>
          <w:rFonts w:ascii="Arial" w:cs="Arial" w:eastAsia="Arial" w:hAnsi="Arial"/>
          <w:sz w:val="15"/>
          <w:szCs w:val="15"/>
          <w:color w:val="auto"/>
        </w:rPr>
        <w:t>Our disclosure controls and procedures include components of our internal control over financial reporting. Our management, including our CEO and CFO, does not expect that our disclosure controls and procedures or our internal control over financial reporting will necessarily prevent all errors and all fraud.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Because of the inherent limitations in all control systems, no evaluation of controls can provide absolute assurance that all control issues and instances of fraud, if any, within Autodesk have been detected.</w:t>
      </w:r>
    </w:p>
    <w:p>
      <w:pPr>
        <w:spacing w:after="0" w:line="195" w:lineRule="exact"/>
        <w:rPr>
          <w:sz w:val="20"/>
          <w:szCs w:val="20"/>
          <w:color w:val="auto"/>
        </w:rPr>
      </w:pPr>
    </w:p>
    <w:p>
      <w:pPr>
        <w:spacing w:after="0"/>
        <w:rPr>
          <w:sz w:val="20"/>
          <w:szCs w:val="20"/>
          <w:color w:val="auto"/>
        </w:rPr>
      </w:pPr>
      <w:r>
        <w:rPr>
          <w:rFonts w:ascii="Arial" w:cs="Arial" w:eastAsia="Arial" w:hAnsi="Arial"/>
          <w:sz w:val="15"/>
          <w:szCs w:val="15"/>
          <w:b w:val="1"/>
          <w:bCs w:val="1"/>
          <w:color w:val="auto"/>
        </w:rPr>
        <w:t>Changes in Internal Control Over Financial Reporting</w:t>
      </w:r>
    </w:p>
    <w:p>
      <w:pPr>
        <w:spacing w:after="0" w:line="234" w:lineRule="exact"/>
        <w:rPr>
          <w:sz w:val="20"/>
          <w:szCs w:val="20"/>
          <w:color w:val="auto"/>
        </w:rPr>
      </w:pPr>
    </w:p>
    <w:p>
      <w:pPr>
        <w:ind w:firstLine="351"/>
        <w:spacing w:after="0" w:line="241" w:lineRule="auto"/>
        <w:rPr>
          <w:sz w:val="20"/>
          <w:szCs w:val="20"/>
          <w:color w:val="auto"/>
        </w:rPr>
      </w:pPr>
      <w:r>
        <w:rPr>
          <w:rFonts w:ascii="Arial" w:cs="Arial" w:eastAsia="Arial" w:hAnsi="Arial"/>
          <w:sz w:val="15"/>
          <w:szCs w:val="15"/>
          <w:color w:val="auto"/>
        </w:rPr>
        <w:t>There were no changes in our internal control over financial reporting (as such term is defined in Rules 13a-15(f) and 15d-15(f) under the Exchange Act) during the three months ended April 30, 2023, that have materially affected, or are reasonably likely to materially affect, our internal control over financial reporting.</w:t>
      </w:r>
    </w:p>
    <w:p>
      <w:pPr>
        <w:spacing w:after="0" w:line="200" w:lineRule="exact"/>
        <w:rPr>
          <w:sz w:val="20"/>
          <w:szCs w:val="20"/>
          <w:color w:val="auto"/>
        </w:rPr>
      </w:pPr>
    </w:p>
    <w:p>
      <w:pPr>
        <w:spacing w:after="0" w:line="265"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49" w:name="page50"/>
    <w:bookmarkEnd w:id="49"/>
    <w:p>
      <w:pPr>
        <w:jc w:val="center"/>
        <w:ind w:right="20"/>
        <w:spacing w:after="0"/>
        <w:rPr>
          <w:sz w:val="20"/>
          <w:szCs w:val="20"/>
          <w:color w:val="auto"/>
        </w:rPr>
      </w:pPr>
      <w:r>
        <w:rPr>
          <w:rFonts w:ascii="Arial" w:cs="Arial" w:eastAsia="Arial" w:hAnsi="Arial"/>
          <w:sz w:val="15"/>
          <w:szCs w:val="15"/>
          <w:b w:val="1"/>
          <w:bCs w:val="1"/>
          <w:color w:val="auto"/>
        </w:rPr>
        <w:t>PART II. OTHER INFORMATION</w:t>
      </w:r>
    </w:p>
    <w:p>
      <w:pPr>
        <w:spacing w:after="0" w:line="167" w:lineRule="exact"/>
        <w:rPr>
          <w:sz w:val="20"/>
          <w:szCs w:val="20"/>
          <w:color w:val="auto"/>
        </w:rPr>
      </w:pPr>
    </w:p>
    <w:p>
      <w:pPr>
        <w:spacing w:after="0"/>
        <w:tabs>
          <w:tab w:leader="none" w:pos="1080" w:val="left"/>
        </w:tabs>
        <w:rPr>
          <w:sz w:val="20"/>
          <w:szCs w:val="20"/>
          <w:color w:val="auto"/>
        </w:rPr>
      </w:pPr>
      <w:r>
        <w:rPr>
          <w:rFonts w:ascii="Arial" w:cs="Arial" w:eastAsia="Arial" w:hAnsi="Arial"/>
          <w:sz w:val="15"/>
          <w:szCs w:val="15"/>
          <w:b w:val="1"/>
          <w:bCs w:val="1"/>
          <w:color w:val="auto"/>
        </w:rPr>
        <w:t>ITEM 1.</w:t>
      </w:r>
      <w:r>
        <w:rPr>
          <w:sz w:val="20"/>
          <w:szCs w:val="20"/>
          <w:color w:val="auto"/>
        </w:rPr>
        <w:tab/>
      </w:r>
      <w:r>
        <w:rPr>
          <w:rFonts w:ascii="Arial" w:cs="Arial" w:eastAsia="Arial" w:hAnsi="Arial"/>
          <w:sz w:val="15"/>
          <w:szCs w:val="15"/>
          <w:b w:val="1"/>
          <w:bCs w:val="1"/>
          <w:color w:val="auto"/>
        </w:rPr>
        <w:t>LEGAL PROCEEDINGS</w:t>
      </w:r>
    </w:p>
    <w:p>
      <w:pPr>
        <w:spacing w:after="0" w:line="234" w:lineRule="exact"/>
        <w:rPr>
          <w:sz w:val="20"/>
          <w:szCs w:val="20"/>
          <w:color w:val="auto"/>
        </w:rPr>
      </w:pPr>
    </w:p>
    <w:p>
      <w:pPr>
        <w:ind w:firstLine="387"/>
        <w:spacing w:after="0" w:line="249" w:lineRule="auto"/>
        <w:rPr>
          <w:sz w:val="20"/>
          <w:szCs w:val="20"/>
          <w:color w:val="auto"/>
        </w:rPr>
      </w:pPr>
      <w:r>
        <w:rPr>
          <w:rFonts w:ascii="Arial" w:cs="Arial" w:eastAsia="Arial" w:hAnsi="Arial"/>
          <w:sz w:val="15"/>
          <w:szCs w:val="15"/>
          <w:color w:val="auto"/>
        </w:rPr>
        <w:t>We are involved in a variety of claims, suits, investigations, inquiries and proceedings in the normal course of business activities including claims of alleged infringement of intellectual property rights, commercial, employment, tax, prosecution of unauthorized use, business practices, and other matters. In our opinion, resolution of pending matters is not expected to have a material adverse impact on our consolidated results of operations, cash flows, or financial position. Given the unpredictable nature of legal proceedings, there is a reasonable possibility that an unfavorable resolution of one or more such proceedings could in the future materially affect our results of operations, cash flows, or financial position in a particular period; however, based on the information known by us as of the date of this filing and the rules and regulations applicable to the preparation of our financial statements, any such amount is either immaterial or it is not possible to provide an estimated amount of any such potential loss.</w:t>
      </w:r>
    </w:p>
    <w:p>
      <w:pPr>
        <w:spacing w:after="0" w:line="192" w:lineRule="exact"/>
        <w:rPr>
          <w:sz w:val="20"/>
          <w:szCs w:val="20"/>
          <w:color w:val="auto"/>
        </w:rPr>
      </w:pPr>
    </w:p>
    <w:p>
      <w:pPr>
        <w:spacing w:after="0"/>
        <w:tabs>
          <w:tab w:leader="none" w:pos="1060" w:val="left"/>
        </w:tabs>
        <w:rPr>
          <w:sz w:val="20"/>
          <w:szCs w:val="20"/>
          <w:color w:val="auto"/>
        </w:rPr>
      </w:pPr>
      <w:r>
        <w:rPr>
          <w:rFonts w:ascii="Arial" w:cs="Arial" w:eastAsia="Arial" w:hAnsi="Arial"/>
          <w:sz w:val="15"/>
          <w:szCs w:val="15"/>
          <w:b w:val="1"/>
          <w:bCs w:val="1"/>
          <w:color w:val="auto"/>
        </w:rPr>
        <w:t>ITEM 1A.</w:t>
      </w:r>
      <w:r>
        <w:rPr>
          <w:sz w:val="20"/>
          <w:szCs w:val="20"/>
          <w:color w:val="auto"/>
        </w:rPr>
        <w:tab/>
      </w:r>
      <w:r>
        <w:rPr>
          <w:rFonts w:ascii="Arial" w:cs="Arial" w:eastAsia="Arial" w:hAnsi="Arial"/>
          <w:sz w:val="15"/>
          <w:szCs w:val="15"/>
          <w:b w:val="1"/>
          <w:bCs w:val="1"/>
          <w:color w:val="auto"/>
        </w:rPr>
        <w:t>RISK FACTORS</w:t>
      </w:r>
    </w:p>
    <w:p>
      <w:pPr>
        <w:spacing w:after="0" w:line="234" w:lineRule="exact"/>
        <w:rPr>
          <w:sz w:val="20"/>
          <w:szCs w:val="20"/>
          <w:color w:val="auto"/>
        </w:rPr>
      </w:pPr>
    </w:p>
    <w:p>
      <w:pPr>
        <w:ind w:right="40" w:firstLine="351"/>
        <w:spacing w:after="0" w:line="249" w:lineRule="auto"/>
        <w:rPr>
          <w:sz w:val="20"/>
          <w:szCs w:val="20"/>
          <w:color w:val="auto"/>
        </w:rPr>
      </w:pPr>
      <w:r>
        <w:rPr>
          <w:rFonts w:ascii="Arial" w:cs="Arial" w:eastAsia="Arial" w:hAnsi="Arial"/>
          <w:sz w:val="15"/>
          <w:szCs w:val="15"/>
          <w:color w:val="auto"/>
        </w:rPr>
        <w:t>We operate in a rapidly changing environment that involves significant risks, a number of which are beyond our control. In addition to the other information contained in this Form 10 -Q, the following discussion highlights some of these risks and the possible impact of these factors on our business, financial condition, and future results of operations. If any of the following risks actually occur, our business, financial condition, or results of operations may be adversely impacted, causing the trading price of our common stock to decline. In addition, these risks and uncertainties may impact the forward-looking statements described elsewhere in this Form 10-Q and in the documents incorporated herein by reference. They could affect our actual results of operations, causing them to differ materially from those expressed in forward-looking statements.</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Summary of Risk Factors</w:t>
      </w:r>
    </w:p>
    <w:p>
      <w:pPr>
        <w:spacing w:after="0" w:line="232" w:lineRule="exact"/>
        <w:rPr>
          <w:sz w:val="20"/>
          <w:szCs w:val="20"/>
          <w:color w:val="auto"/>
        </w:rPr>
      </w:pPr>
    </w:p>
    <w:p>
      <w:pPr>
        <w:ind w:right="120"/>
        <w:spacing w:after="0" w:line="251" w:lineRule="auto"/>
        <w:rPr>
          <w:sz w:val="20"/>
          <w:szCs w:val="20"/>
          <w:color w:val="auto"/>
        </w:rPr>
      </w:pPr>
      <w:r>
        <w:rPr>
          <w:rFonts w:ascii="Arial" w:cs="Arial" w:eastAsia="Arial" w:hAnsi="Arial"/>
          <w:sz w:val="15"/>
          <w:szCs w:val="15"/>
          <w:color w:val="auto"/>
        </w:rPr>
        <w:t>Our business is subject to numerous risks and uncertainties that you should consider before investing in our securities. These risks are described more fully below and include, but are not limited to, risks relating to the following:</w:t>
      </w:r>
    </w:p>
    <w:p>
      <w:pPr>
        <w:spacing w:after="0" w:line="1" w:lineRule="exact"/>
        <w:rPr>
          <w:sz w:val="20"/>
          <w:szCs w:val="20"/>
          <w:color w:val="auto"/>
        </w:rPr>
      </w:pPr>
    </w:p>
    <w:p>
      <w:pPr>
        <w:ind w:left="560" w:right="100" w:hanging="275"/>
        <w:spacing w:after="0"/>
        <w:tabs>
          <w:tab w:leader="none" w:pos="560" w:val="left"/>
        </w:tabs>
        <w:numPr>
          <w:ilvl w:val="0"/>
          <w:numId w:val="23"/>
        </w:numPr>
        <w:rPr>
          <w:rFonts w:ascii="Arial" w:cs="Arial" w:eastAsia="Arial" w:hAnsi="Arial"/>
          <w:sz w:val="15"/>
          <w:szCs w:val="15"/>
          <w:color w:val="auto"/>
        </w:rPr>
      </w:pPr>
      <w:r>
        <w:rPr>
          <w:rFonts w:ascii="Arial" w:cs="Arial" w:eastAsia="Arial" w:hAnsi="Arial"/>
          <w:sz w:val="15"/>
          <w:szCs w:val="15"/>
          <w:color w:val="auto"/>
        </w:rPr>
        <w:t>Our strategy to develop and introduce new products and services, exposing us to risks such as limited customer acceptance (both new and existing customers), costs related to product defects, and large expenditures.</w:t>
      </w:r>
    </w:p>
    <w:p>
      <w:pPr>
        <w:ind w:left="560" w:hanging="275"/>
        <w:spacing w:after="0" w:line="218"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Global economic and political conditions.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Costs and challenges associated with strategic acquisitions and investments.</w:t>
      </w:r>
    </w:p>
    <w:p>
      <w:pPr>
        <w:spacing w:after="0" w:line="31" w:lineRule="exact"/>
        <w:rPr>
          <w:rFonts w:ascii="Arial" w:cs="Arial" w:eastAsia="Arial" w:hAnsi="Arial"/>
          <w:sz w:val="19"/>
          <w:szCs w:val="19"/>
          <w:color w:val="auto"/>
        </w:rPr>
      </w:pPr>
    </w:p>
    <w:p>
      <w:pPr>
        <w:ind w:left="560" w:right="80" w:hanging="275"/>
        <w:spacing w:after="0" w:line="232"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Dependency on international revenue and operations, exposing us to significant international regulatory, economic, intellectual property, collections, currency exchange rate, taxation, political, and other risks.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Inability to predict subscription renewal rates and their impact on our future revenue and operating results.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Existing and increased competition and rapidly evolving technological changes.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Fluctuation of our financial results, key metrics and other operating metrics.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Deriving a substantial portion of our net revenue from a small number of solutions, including our AutoCAD-based software products and collections.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Any failure to successfully execute and manage initiatives to realign or introduce new business and sales initiatives.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Net revenue, billings, earnings, cash flow, or subscriptions shortfalls or volatility of the market causing the market price of our stock to decline.</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Social and ethical issues relating to the use of artificial intelligence in our offerings.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Security incidents compromising the integrity of our or our customers’ offerings, services, data, or intellectual property.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Reliance on third parties to provide us with a number of operational and technical services as well as software.</w:t>
      </w:r>
    </w:p>
    <w:p>
      <w:pPr>
        <w:spacing w:after="0" w:line="31" w:lineRule="exact"/>
        <w:rPr>
          <w:rFonts w:ascii="Arial" w:cs="Arial" w:eastAsia="Arial" w:hAnsi="Arial"/>
          <w:sz w:val="19"/>
          <w:szCs w:val="19"/>
          <w:color w:val="auto"/>
        </w:rPr>
      </w:pPr>
    </w:p>
    <w:p>
      <w:pPr>
        <w:ind w:left="560" w:right="280" w:hanging="275"/>
        <w:spacing w:after="0" w:line="232"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Our highly complex software, which may contain undetected errors, defects, or vulnerabilities, and is subject to service disruptions, degradations, outages or other performance problems.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Increasing regulatory focus on privacy issues and expanding laws.</w:t>
      </w:r>
    </w:p>
    <w:p>
      <w:pPr>
        <w:spacing w:after="0" w:line="31" w:lineRule="exact"/>
        <w:rPr>
          <w:rFonts w:ascii="Arial" w:cs="Arial" w:eastAsia="Arial" w:hAnsi="Arial"/>
          <w:sz w:val="19"/>
          <w:szCs w:val="19"/>
          <w:color w:val="auto"/>
        </w:rPr>
      </w:pPr>
    </w:p>
    <w:p>
      <w:pPr>
        <w:ind w:left="560" w:right="340" w:hanging="275"/>
        <w:spacing w:after="0" w:line="232"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Governmental export and import controls that could impair our ability to compete in international markets or subject us to liability if we violate the controls.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Protection of our intellectual property rights and intellectual property infringement claims from others.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The government procurement process.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3"/>
        </w:numPr>
        <w:rPr>
          <w:rFonts w:ascii="Arial" w:cs="Arial" w:eastAsia="Arial" w:hAnsi="Arial"/>
          <w:sz w:val="19"/>
          <w:szCs w:val="19"/>
          <w:color w:val="auto"/>
        </w:rPr>
      </w:pPr>
      <w:r>
        <w:rPr>
          <w:rFonts w:ascii="Arial" w:cs="Arial" w:eastAsia="Arial" w:hAnsi="Arial"/>
          <w:sz w:val="15"/>
          <w:szCs w:val="15"/>
          <w:color w:val="auto"/>
        </w:rPr>
        <w:t>Fluctuations in currency exchange rates.</w:t>
      </w:r>
    </w:p>
    <w:p>
      <w:pPr>
        <w:spacing w:after="0" w:line="200" w:lineRule="exact"/>
        <w:rPr>
          <w:sz w:val="20"/>
          <w:szCs w:val="20"/>
          <w:color w:val="auto"/>
        </w:rPr>
      </w:pPr>
    </w:p>
    <w:p>
      <w:pPr>
        <w:spacing w:after="0" w:line="28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22" w:right="660" w:bottom="1440" w:gutter="0" w:footer="0" w:header="0"/>
        </w:sectPr>
      </w:pPr>
    </w:p>
    <w:bookmarkStart w:id="50" w:name="page51"/>
    <w:bookmarkEnd w:id="50"/>
    <w:p>
      <w:pPr>
        <w:ind w:left="560" w:hanging="275"/>
        <w:spacing w:after="0"/>
        <w:tabs>
          <w:tab w:leader="none" w:pos="560" w:val="left"/>
        </w:tabs>
        <w:numPr>
          <w:ilvl w:val="0"/>
          <w:numId w:val="24"/>
        </w:numPr>
        <w:rPr>
          <w:rFonts w:ascii="Arial" w:cs="Arial" w:eastAsia="Arial" w:hAnsi="Arial"/>
          <w:sz w:val="19"/>
          <w:szCs w:val="19"/>
          <w:color w:val="auto"/>
        </w:rPr>
      </w:pPr>
      <w:r>
        <w:rPr>
          <w:rFonts w:ascii="Arial" w:cs="Arial" w:eastAsia="Arial" w:hAnsi="Arial"/>
          <w:sz w:val="15"/>
          <w:szCs w:val="15"/>
          <w:color w:val="auto"/>
        </w:rPr>
        <w:t>Our debt service obligations.</w:t>
      </w:r>
    </w:p>
    <w:p>
      <w:pPr>
        <w:spacing w:after="0" w:line="19" w:lineRule="exact"/>
        <w:rPr>
          <w:rFonts w:ascii="Arial" w:cs="Arial" w:eastAsia="Arial" w:hAnsi="Arial"/>
          <w:sz w:val="19"/>
          <w:szCs w:val="19"/>
          <w:color w:val="auto"/>
        </w:rPr>
      </w:pPr>
    </w:p>
    <w:p>
      <w:pPr>
        <w:ind w:left="560" w:right="260" w:hanging="275"/>
        <w:spacing w:after="0" w:line="225" w:lineRule="auto"/>
        <w:tabs>
          <w:tab w:leader="none" w:pos="560" w:val="left"/>
        </w:tabs>
        <w:numPr>
          <w:ilvl w:val="0"/>
          <w:numId w:val="24"/>
        </w:numPr>
        <w:rPr>
          <w:rFonts w:ascii="Arial" w:cs="Arial" w:eastAsia="Arial" w:hAnsi="Arial"/>
          <w:sz w:val="19"/>
          <w:szCs w:val="19"/>
          <w:color w:val="auto"/>
        </w:rPr>
      </w:pPr>
      <w:r>
        <w:rPr>
          <w:rFonts w:ascii="Arial" w:cs="Arial" w:eastAsia="Arial" w:hAnsi="Arial"/>
          <w:sz w:val="15"/>
          <w:szCs w:val="15"/>
          <w:color w:val="auto"/>
        </w:rPr>
        <w:t>Our investment portfolio consisting of a variety of investment vehicles that are subject to interest rate trends, market volatility, and other economic factors.</w:t>
      </w:r>
    </w:p>
    <w:p>
      <w:pPr>
        <w:spacing w:after="0" w:line="1" w:lineRule="exact"/>
        <w:rPr>
          <w:rFonts w:ascii="Arial" w:cs="Arial" w:eastAsia="Arial" w:hAnsi="Arial"/>
          <w:sz w:val="19"/>
          <w:szCs w:val="19"/>
          <w:color w:val="auto"/>
        </w:rPr>
      </w:pPr>
    </w:p>
    <w:p>
      <w:pPr>
        <w:ind w:left="560" w:hanging="275"/>
        <w:spacing w:after="0" w:line="218" w:lineRule="auto"/>
        <w:tabs>
          <w:tab w:leader="none" w:pos="560" w:val="left"/>
        </w:tabs>
        <w:numPr>
          <w:ilvl w:val="0"/>
          <w:numId w:val="24"/>
        </w:numPr>
        <w:rPr>
          <w:rFonts w:ascii="Arial" w:cs="Arial" w:eastAsia="Arial" w:hAnsi="Arial"/>
          <w:sz w:val="19"/>
          <w:szCs w:val="19"/>
          <w:color w:val="auto"/>
        </w:rPr>
      </w:pPr>
      <w:r>
        <w:rPr>
          <w:rFonts w:ascii="Arial" w:cs="Arial" w:eastAsia="Arial" w:hAnsi="Arial"/>
          <w:sz w:val="15"/>
          <w:szCs w:val="15"/>
          <w:color w:val="auto"/>
        </w:rPr>
        <w:t>The effects of the COVID-19 pandemic and related public health measures.</w:t>
      </w:r>
    </w:p>
    <w:p>
      <w:pPr>
        <w:spacing w:after="0" w:line="201"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Risks Relating to Our Business and Strategy</w:t>
      </w:r>
    </w:p>
    <w:p>
      <w:pPr>
        <w:spacing w:after="0" w:line="214" w:lineRule="exact"/>
        <w:rPr>
          <w:sz w:val="20"/>
          <w:szCs w:val="20"/>
          <w:color w:val="auto"/>
        </w:rPr>
      </w:pPr>
    </w:p>
    <w:p>
      <w:pPr>
        <w:ind w:right="460"/>
        <w:spacing w:after="0" w:line="263" w:lineRule="auto"/>
        <w:rPr>
          <w:sz w:val="20"/>
          <w:szCs w:val="20"/>
          <w:color w:val="auto"/>
        </w:rPr>
      </w:pPr>
      <w:r>
        <w:rPr>
          <w:rFonts w:ascii="Arial" w:cs="Arial" w:eastAsia="Arial" w:hAnsi="Arial"/>
          <w:sz w:val="15"/>
          <w:szCs w:val="15"/>
          <w:i w:val="1"/>
          <w:iCs w:val="1"/>
          <w:color w:val="auto"/>
        </w:rPr>
        <w:t>Our strategy to develop and introduce new products and services exposes us to risks such as limited customer acceptance (both with new and existing customers), costs related to product defects, and large expenditures, each of which may result in no additional net revenue or decreased net revenue.</w:t>
      </w:r>
    </w:p>
    <w:p>
      <w:pPr>
        <w:spacing w:after="0" w:line="179" w:lineRule="exact"/>
        <w:rPr>
          <w:sz w:val="20"/>
          <w:szCs w:val="20"/>
          <w:color w:val="auto"/>
        </w:rPr>
      </w:pPr>
    </w:p>
    <w:p>
      <w:pPr>
        <w:ind w:firstLine="351"/>
        <w:spacing w:after="0" w:line="246" w:lineRule="auto"/>
        <w:rPr>
          <w:sz w:val="20"/>
          <w:szCs w:val="20"/>
          <w:color w:val="auto"/>
        </w:rPr>
      </w:pPr>
      <w:r>
        <w:rPr>
          <w:rFonts w:ascii="Arial" w:cs="Arial" w:eastAsia="Arial" w:hAnsi="Arial"/>
          <w:sz w:val="15"/>
          <w:szCs w:val="15"/>
          <w:color w:val="auto"/>
        </w:rPr>
        <w:t>The software industry is characterized by rapid technological changes as well as changes in customer requirements and preferences. In recent years, the industry has undergone a transition from developing and selling perpetual licenses and on-premises products to subscriptions and cloud- enabled technologies. Both new and existing customers are also reconsidering how they purchase software products, which requires us to constantly evaluate our business model and strategy. In response, we are focused on providing solutions to enable our customers to be more agile and collaborative on their projects. We devote significant resources to the development of new technologies. In addition, we frequently introduce new business models or methods that require a considerable investment of technical and financial resources, such as our introduction of flexible subscription and service offerings and our transition of multi-subscription plans to named -user plans. It is uncertain whether these strategies, including our product and pricing changes, will accurately reflect customer demand or be successful, or whether we will be able to develop the necessary infrastructure and business models more quickly than our competitors. We make such investments through further development and enhancement of our existing products and services, as well as through acquisitions. Such investments may not result in sufficient revenue generation to justify their costs and could result in decreased net revenue or profitability. If we are not able to meet customer requirements, either with respect to new customers or existing customers, and either with respect to our software or the manner in which we provide such products, or if we are not able to adapt our business model to meet our customers’ requirements, our business, financial condition, or results of operations may be adversely impacted.</w:t>
      </w:r>
    </w:p>
    <w:p>
      <w:pPr>
        <w:spacing w:after="0" w:line="209" w:lineRule="exact"/>
        <w:rPr>
          <w:sz w:val="20"/>
          <w:szCs w:val="20"/>
          <w:color w:val="auto"/>
        </w:rPr>
      </w:pPr>
    </w:p>
    <w:p>
      <w:pPr>
        <w:ind w:right="180" w:firstLine="351"/>
        <w:spacing w:after="0" w:line="251" w:lineRule="auto"/>
        <w:rPr>
          <w:sz w:val="20"/>
          <w:szCs w:val="20"/>
          <w:color w:val="auto"/>
        </w:rPr>
      </w:pPr>
      <w:r>
        <w:rPr>
          <w:rFonts w:ascii="Arial" w:cs="Arial" w:eastAsia="Arial" w:hAnsi="Arial"/>
          <w:sz w:val="15"/>
          <w:szCs w:val="15"/>
          <w:color w:val="auto"/>
        </w:rPr>
        <w:t>In particular, a critical component of our growth strategy is to have customers of our AutoCAD and AutoCAD LT products, as well as other individual Autodesk products, expand their portfolios to include our other offerings and cloud-based functionality, and we are taking steps to accelerate this migration. At times, sales of our AutoCAD and AutoCAD LT or individual Autodesk flagship products have decreased without a corresponding increase in Industry Collections or cloud-based functionality revenue, or without purchases of customer seats to our Industry Collections. Should this continue, our results of operations will be adversely affected.</w:t>
      </w:r>
    </w:p>
    <w:p>
      <w:pPr>
        <w:spacing w:after="0" w:line="199" w:lineRule="exact"/>
        <w:rPr>
          <w:sz w:val="20"/>
          <w:szCs w:val="20"/>
          <w:color w:val="auto"/>
        </w:rPr>
      </w:pPr>
    </w:p>
    <w:p>
      <w:pPr>
        <w:ind w:right="60" w:firstLine="351"/>
        <w:spacing w:after="0" w:line="249" w:lineRule="auto"/>
        <w:rPr>
          <w:sz w:val="20"/>
          <w:szCs w:val="20"/>
          <w:color w:val="auto"/>
        </w:rPr>
      </w:pPr>
      <w:r>
        <w:rPr>
          <w:rFonts w:ascii="Arial" w:cs="Arial" w:eastAsia="Arial" w:hAnsi="Arial"/>
          <w:sz w:val="15"/>
          <w:szCs w:val="15"/>
          <w:color w:val="auto"/>
        </w:rPr>
        <w:t>Our executive management team must continuously act quickly and with vision, given the rapidly changing customer expectations and technology advancements inherent in the software industry, the extensive and complex efforts required to create useful and widely accepted products, and the rapid evolution of cloud computing, mobile devices, new computing platforms, and other technologies, such as consumer products. Although we have articulated a strategy that we believe will fulfill these challenges, if we fail to execute properly on that strategy or adapt the strategy as market conditions evolve, we may fail to meet our customers’ expectations, be unable to compete with our competitors' products and technology, and lose the confidence of our channel partners and employees. This in turn could adversely affect our business and financial performance.</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Global economic and political conditions may further impact our industries, business, and financial results.</w:t>
      </w:r>
    </w:p>
    <w:p>
      <w:pPr>
        <w:spacing w:after="0" w:line="232" w:lineRule="exact"/>
        <w:rPr>
          <w:sz w:val="20"/>
          <w:szCs w:val="20"/>
          <w:color w:val="auto"/>
        </w:rPr>
      </w:pPr>
    </w:p>
    <w:p>
      <w:pPr>
        <w:ind w:right="100" w:firstLine="351"/>
        <w:spacing w:after="0" w:line="231" w:lineRule="auto"/>
        <w:rPr>
          <w:sz w:val="20"/>
          <w:szCs w:val="20"/>
          <w:color w:val="auto"/>
        </w:rPr>
      </w:pPr>
      <w:r>
        <w:rPr>
          <w:rFonts w:ascii="Arial" w:cs="Arial" w:eastAsia="Arial" w:hAnsi="Arial"/>
          <w:sz w:val="15"/>
          <w:szCs w:val="15"/>
          <w:color w:val="auto"/>
        </w:rPr>
        <w:t>Our overall performance depends largely upon domestic and worldwide economic and political conditions. The United States and other countries’ economies have experienced cyclical downturns, in which economic activity was impacted by falling demand for a variety of goods and services, restricted credit, poor liquidity, decreased government spending, reduced corporate profitability, volatility in credit, equity, and foreign exchange markets, inflationary pressures and higher interest rates, bankruptcies, and overall uncertainty. These economic conditions can occur abruptly. For example, current geopolitical and global macro-economic challenges and the coronavirus (COVID -19) pandemic have caused uncertainty in the global economy, and an economic downturn or recession in the United States or in other countries may occur or has already occurred and may continue. The extent to which these challenges will impact our financial condition or results of operations is still uncertain and will continue to depend on developments such as the impact of these challenges on our customers, vendors, distributors, and resellers, such as the supply chain disruption and resulting inflationary pressures and global labor shortage that we have seen recently, as well as other factors; the ebb and flow of COVID-19, including in specific geographies and as a result of outbreaks and variants; actions taken by governments, businesses, and consumers in response to these challenges; speed and timing of economic recovery, including in specific geographies; our billings and renewal rates, including new business close rates, rate of</w:t>
      </w:r>
    </w:p>
    <w:p>
      <w:pPr>
        <w:spacing w:after="0" w:line="200" w:lineRule="exact"/>
        <w:rPr>
          <w:sz w:val="20"/>
          <w:szCs w:val="20"/>
          <w:color w:val="auto"/>
        </w:rPr>
      </w:pPr>
    </w:p>
    <w:p>
      <w:pPr>
        <w:spacing w:after="0" w:line="270"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9" w:right="640" w:bottom="1440" w:gutter="0" w:footer="0" w:header="0"/>
        </w:sectPr>
      </w:pPr>
    </w:p>
    <w:bookmarkStart w:id="51" w:name="page52"/>
    <w:bookmarkEnd w:id="51"/>
    <w:p>
      <w:pPr>
        <w:spacing w:after="0" w:line="233" w:lineRule="auto"/>
        <w:rPr>
          <w:sz w:val="20"/>
          <w:szCs w:val="20"/>
          <w:color w:val="auto"/>
        </w:rPr>
      </w:pPr>
      <w:r>
        <w:rPr>
          <w:rFonts w:ascii="Arial" w:cs="Arial" w:eastAsia="Arial" w:hAnsi="Arial"/>
          <w:sz w:val="15"/>
          <w:szCs w:val="15"/>
          <w:color w:val="auto"/>
        </w:rPr>
        <w:t>multi-year contracts, pace of closing larger transactions, and new unit volume growth; the war in Ukraine; foreign exchange rate fluctuations; and the effect of these challenges on margins and cash flow. All of these factors continue to evolve and remain uncertain at this time, and some of these factors are not within our control. Due to our subscription-based business model, the effect of COVID-19 may not be fully reflected in our results of operations until future periods, if at all. If economic growth in countries where we do business slows or if such countries experience further economic recessions, customers may delay or reduce technology purchases, which we have seen recently in certain countries including China. Our customers include government entities, including the U.S. federal government, and if spending cuts impede the ability of governments to purchase our products and services, our revenue could decline. In addition, a number of our customers rely, directly and indirectly, on government spending.</w:t>
      </w:r>
    </w:p>
    <w:p>
      <w:pPr>
        <w:spacing w:after="0" w:line="199" w:lineRule="exact"/>
        <w:rPr>
          <w:sz w:val="20"/>
          <w:szCs w:val="20"/>
          <w:color w:val="auto"/>
        </w:rPr>
      </w:pPr>
    </w:p>
    <w:p>
      <w:pPr>
        <w:ind w:right="20" w:firstLine="351"/>
        <w:spacing w:after="0" w:line="232" w:lineRule="auto"/>
        <w:rPr>
          <w:sz w:val="20"/>
          <w:szCs w:val="20"/>
          <w:color w:val="auto"/>
        </w:rPr>
      </w:pPr>
      <w:r>
        <w:rPr>
          <w:rFonts w:ascii="Arial" w:cs="Arial" w:eastAsia="Arial" w:hAnsi="Arial"/>
          <w:sz w:val="15"/>
          <w:szCs w:val="15"/>
          <w:color w:val="auto"/>
        </w:rPr>
        <w:t>As described elsewhere in these risk factors, we are dependent on international revenue and operations and are subject to related risks of conducting business globally. Trends toward nationalism and protectionism and the weakening or dissolution of international trade pacts may increase the cost of, or otherwise interfere with, conducting business. These trends have increased political and economic unpredictability globally and may increase the volatility of global financial markets, and the impact of such developments on the global economy remains uncertain. Political instability or adverse political developments in any of the countries in which we do business could harm our business, results of operations, and financial condition. A financial sector credit crisis could impair credit availability and the financial stability of our customers, including our distribution partners and channels. A disruption in the financial markets may also have an effect on our derivative counter -parties and could also impair our banking partners, on which we rely for operating cash management. War, including the significant military action against Ukraine launched by Russia and any related political or economic responses and counter-responses or otherwise by various global actors or the general effect on the global economy, could also affect our business. Any of these events could harm our business, results of operations, and financial condition.</w:t>
      </w:r>
    </w:p>
    <w:p>
      <w:pPr>
        <w:spacing w:after="0" w:line="189"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Our business could be adversely impacted by the costs and challenges associated with strategic acquisitions and investments.</w:t>
      </w:r>
    </w:p>
    <w:p>
      <w:pPr>
        <w:spacing w:after="0" w:line="232" w:lineRule="exact"/>
        <w:rPr>
          <w:sz w:val="20"/>
          <w:szCs w:val="20"/>
          <w:color w:val="auto"/>
        </w:rPr>
      </w:pPr>
    </w:p>
    <w:p>
      <w:pPr>
        <w:ind w:right="120" w:firstLine="351"/>
        <w:spacing w:after="0" w:line="234" w:lineRule="auto"/>
        <w:rPr>
          <w:sz w:val="20"/>
          <w:szCs w:val="20"/>
          <w:color w:val="auto"/>
        </w:rPr>
      </w:pPr>
      <w:r>
        <w:rPr>
          <w:rFonts w:ascii="Arial" w:cs="Arial" w:eastAsia="Arial" w:hAnsi="Arial"/>
          <w:sz w:val="15"/>
          <w:szCs w:val="15"/>
          <w:color w:val="auto"/>
        </w:rPr>
        <w:t>We regularly acquire or invest in businesses, software solutions, and technologies that are complementary to our business through acquisitions, strategic alliances, or equity or debt investments, including several transactions in fiscal 2022 and the first fiscal quarter in fiscal 2023. The risks associated with such acquisitions include the difficulty of integrating solutions, operations, and personnel; inheriting liabilities such as intellectual property infringement claims; failure to realize anticipated revenue and cost projections and expected synergies; the requirement to test and assimilate the internal control processes of the acquired business in accordance with the requirements of Section 404 of the Sarbanes-Oxley Act of 2002; and diversion of management's time and attention. In addition, such acquisitions and investments involve other risks such as:</w:t>
      </w:r>
    </w:p>
    <w:p>
      <w:pPr>
        <w:spacing w:after="0" w:line="206" w:lineRule="exact"/>
        <w:rPr>
          <w:sz w:val="20"/>
          <w:szCs w:val="20"/>
          <w:color w:val="auto"/>
        </w:rPr>
      </w:pPr>
    </w:p>
    <w:p>
      <w:pPr>
        <w:ind w:left="560" w:hanging="275"/>
        <w:spacing w:after="0"/>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the inability to retain customers, key employees, vendors, distributors, business partners, and other entities associated with the acquired business;</w:t>
      </w:r>
    </w:p>
    <w:p>
      <w:pPr>
        <w:spacing w:after="0" w:line="1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the potential that due diligence of the acquired business or solution does not identify significant problems;</w:t>
      </w:r>
    </w:p>
    <w:p>
      <w:pPr>
        <w:spacing w:after="0" w:line="31" w:lineRule="exact"/>
        <w:rPr>
          <w:rFonts w:ascii="Arial" w:cs="Arial" w:eastAsia="Arial" w:hAnsi="Arial"/>
          <w:sz w:val="19"/>
          <w:szCs w:val="19"/>
          <w:color w:val="auto"/>
        </w:rPr>
      </w:pPr>
    </w:p>
    <w:p>
      <w:pPr>
        <w:ind w:left="560" w:right="200" w:hanging="275"/>
        <w:spacing w:after="0" w:line="232"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exposure to litigation or other claims in connection with, or inheritance of claims or litigation risk as a result of, an acquisition, including claims from terminated employees, customers, or other third parties;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the potential for incompatible business cultures;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significantly higher than anticipated transaction or integration-related costs;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potential additional exposure to economic, tax, currency, political, legal, and regulatory risks associated with specific countries; and</w:t>
      </w:r>
    </w:p>
    <w:p>
      <w:pPr>
        <w:spacing w:after="0" w:line="31" w:lineRule="exact"/>
        <w:rPr>
          <w:rFonts w:ascii="Arial" w:cs="Arial" w:eastAsia="Arial" w:hAnsi="Arial"/>
          <w:sz w:val="19"/>
          <w:szCs w:val="19"/>
          <w:color w:val="auto"/>
        </w:rPr>
      </w:pPr>
    </w:p>
    <w:p>
      <w:pPr>
        <w:ind w:left="560" w:right="640" w:hanging="275"/>
        <w:spacing w:after="0" w:line="232" w:lineRule="auto"/>
        <w:tabs>
          <w:tab w:leader="none" w:pos="560" w:val="left"/>
        </w:tabs>
        <w:numPr>
          <w:ilvl w:val="0"/>
          <w:numId w:val="25"/>
        </w:numPr>
        <w:rPr>
          <w:rFonts w:ascii="Arial" w:cs="Arial" w:eastAsia="Arial" w:hAnsi="Arial"/>
          <w:sz w:val="19"/>
          <w:szCs w:val="19"/>
          <w:color w:val="auto"/>
        </w:rPr>
      </w:pPr>
      <w:r>
        <w:rPr>
          <w:rFonts w:ascii="Arial" w:cs="Arial" w:eastAsia="Arial" w:hAnsi="Arial"/>
          <w:sz w:val="15"/>
          <w:szCs w:val="15"/>
          <w:color w:val="auto"/>
        </w:rPr>
        <w:t>the potential impact on relationships with existing customers, vendors, and distributors as business partners as a result of acquiring another business.</w:t>
      </w:r>
    </w:p>
    <w:p>
      <w:pPr>
        <w:spacing w:after="0" w:line="208" w:lineRule="exact"/>
        <w:rPr>
          <w:sz w:val="20"/>
          <w:szCs w:val="20"/>
          <w:color w:val="auto"/>
        </w:rPr>
      </w:pPr>
    </w:p>
    <w:p>
      <w:pPr>
        <w:ind w:right="60" w:firstLine="351"/>
        <w:spacing w:after="0" w:line="251" w:lineRule="auto"/>
        <w:rPr>
          <w:sz w:val="20"/>
          <w:szCs w:val="20"/>
          <w:color w:val="auto"/>
        </w:rPr>
      </w:pPr>
      <w:r>
        <w:rPr>
          <w:rFonts w:ascii="Arial" w:cs="Arial" w:eastAsia="Arial" w:hAnsi="Arial"/>
          <w:sz w:val="15"/>
          <w:szCs w:val="15"/>
          <w:color w:val="auto"/>
        </w:rPr>
        <w:t>We may not be successful in overcoming such risks, and such acquisitions and investments may negatively impact our business. In addition, if we do not complete an announced acquisition transaction or integrate an acquired business successfully and in a timely manner, we may not realize the benefits of the acquisition to the extent anticipated. Acquisitions and investments have in the past and may in the future contribute to fluctuations in our quarterly financial results. These fluctuations could arise from transaction-related costs and charges associated with eliminating redundant expenses or write-offs of impaired assets recorded in connection with acquisitions and investments, and could negatively impact our financial results.</w:t>
      </w:r>
    </w:p>
    <w:p>
      <w:pPr>
        <w:spacing w:after="0" w:line="193" w:lineRule="exact"/>
        <w:rPr>
          <w:sz w:val="20"/>
          <w:szCs w:val="20"/>
          <w:color w:val="auto"/>
        </w:rPr>
      </w:pPr>
    </w:p>
    <w:p>
      <w:pPr>
        <w:ind w:right="260"/>
        <w:spacing w:after="0" w:line="279" w:lineRule="auto"/>
        <w:rPr>
          <w:sz w:val="20"/>
          <w:szCs w:val="20"/>
          <w:color w:val="auto"/>
        </w:rPr>
      </w:pPr>
      <w:r>
        <w:rPr>
          <w:rFonts w:ascii="Arial" w:cs="Arial" w:eastAsia="Arial" w:hAnsi="Arial"/>
          <w:sz w:val="15"/>
          <w:szCs w:val="15"/>
          <w:i w:val="1"/>
          <w:iCs w:val="1"/>
          <w:color w:val="auto"/>
        </w:rPr>
        <w:t>We are dependent on international revenue and operations, exposing us to significant international regulatory, economic, intellectual property, collections, currency exchange rate, taxation, political, and other risks, which could adversely impact our financial results.</w:t>
      </w: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52" w:name="page53"/>
    <w:bookmarkEnd w:id="52"/>
    <w:p>
      <w:pPr>
        <w:ind w:right="120" w:firstLine="351"/>
        <w:spacing w:after="0" w:line="233" w:lineRule="auto"/>
        <w:rPr>
          <w:sz w:val="20"/>
          <w:szCs w:val="20"/>
          <w:color w:val="auto"/>
        </w:rPr>
      </w:pPr>
      <w:r>
        <w:rPr>
          <w:rFonts w:ascii="Arial" w:cs="Arial" w:eastAsia="Arial" w:hAnsi="Arial"/>
          <w:sz w:val="15"/>
          <w:szCs w:val="15"/>
          <w:color w:val="auto"/>
        </w:rPr>
        <w:t>International net revenue represented 64% and 66% of our net revenue for the three months ended April 30, 2023 and 2022, respectively. Our international revenue, some of which comes from emerging economies, is subject to economic and political conditions in foreign markets, including those resulting from economic and political conditions in the United States, as well as country-specific conditions related to COVID-19, such as varied speed of recovery in different geographies. For example, we have recently seen a deceleration in growth in certain geographies including China. Our total revenue is also impacted by the relative geographical and country mix of our revenue over time. Our dependency on international revenue makes us much more exposed to global economic and political trends, which can negatively impact our financial results even if our results in the United States are strong for a particular period.</w:t>
      </w:r>
    </w:p>
    <w:p>
      <w:pPr>
        <w:spacing w:after="0" w:line="199" w:lineRule="exact"/>
        <w:rPr>
          <w:sz w:val="20"/>
          <w:szCs w:val="20"/>
          <w:color w:val="auto"/>
        </w:rPr>
      </w:pPr>
    </w:p>
    <w:p>
      <w:pPr>
        <w:jc w:val="both"/>
        <w:ind w:right="100" w:firstLine="351"/>
        <w:spacing w:after="0" w:line="250" w:lineRule="auto"/>
        <w:rPr>
          <w:sz w:val="20"/>
          <w:szCs w:val="20"/>
          <w:color w:val="auto"/>
        </w:rPr>
      </w:pPr>
      <w:r>
        <w:rPr>
          <w:rFonts w:ascii="Arial" w:cs="Arial" w:eastAsia="Arial" w:hAnsi="Arial"/>
          <w:sz w:val="15"/>
          <w:szCs w:val="15"/>
          <w:color w:val="auto"/>
        </w:rPr>
        <w:t>We anticipate that our international operations will continue to account for a significant portion of our net revenue and, as we expand our international development, sales, and marketing expertise, will provide significant support to our overall efforts in countries outside of the United States. Risks inherent in our international operations include:</w:t>
      </w:r>
    </w:p>
    <w:p>
      <w:pPr>
        <w:ind w:left="560" w:hanging="275"/>
        <w:spacing w:after="0" w:line="236"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economic volatility;</w:t>
      </w:r>
    </w:p>
    <w:p>
      <w:pPr>
        <w:spacing w:after="0" w:line="31" w:lineRule="exact"/>
        <w:rPr>
          <w:rFonts w:ascii="Arial" w:cs="Arial" w:eastAsia="Arial" w:hAnsi="Arial"/>
          <w:sz w:val="19"/>
          <w:szCs w:val="19"/>
          <w:color w:val="auto"/>
        </w:rPr>
      </w:pPr>
    </w:p>
    <w:p>
      <w:pPr>
        <w:ind w:left="560" w:right="480" w:hanging="275"/>
        <w:spacing w:after="0" w:line="254"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tariffs, quotas, and other trade barriers and restrictions , including any political or economic responses and counter-responses or otherwise by various global actors to the significant military action against Ukraine launched by Russia;</w:t>
      </w:r>
    </w:p>
    <w:p>
      <w:pPr>
        <w:spacing w:after="0" w:line="4" w:lineRule="exact"/>
        <w:rPr>
          <w:rFonts w:ascii="Arial" w:cs="Arial" w:eastAsia="Arial" w:hAnsi="Arial"/>
          <w:sz w:val="19"/>
          <w:szCs w:val="19"/>
          <w:color w:val="auto"/>
        </w:rPr>
      </w:pPr>
    </w:p>
    <w:p>
      <w:pPr>
        <w:ind w:left="560" w:hanging="275"/>
        <w:spacing w:after="0"/>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fluctuating currency exchange rates, including devaluations, currency controls, and inflation, and risks related to any hedging activities we undertake;</w:t>
      </w:r>
    </w:p>
    <w:p>
      <w:pPr>
        <w:spacing w:after="0" w:line="1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changes in regulatory requirements and practices;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delays resulting from difficulty in obtaining export licenses for certain technology;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different purchase patterns as compared to the developed world;</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operating in locations with a higher incidence of corruption and fraudulent business practices, particularly in emerging economies;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compliance with the U.S. Foreign Corrupt Practices Act, the U.K. Bribery Act, and other anti-corruption laws;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difficulties in staffing and managing foreign sales and development operations;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local competition;</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longer collection cycles for accounts receivable;</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U.S. and foreign tax law changes and the complexities of tax reporting;</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laws regarding the free flow of data across international borders and management of and access to data and public networks;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possible future limitations upon foreign-owned businesses;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increased financial accounting and reporting burdens and complexities;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inadequate local infrastructure;</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greater difficulty in protecting intellectual property;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software piracy; and</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6"/>
        </w:numPr>
        <w:rPr>
          <w:rFonts w:ascii="Arial" w:cs="Arial" w:eastAsia="Arial" w:hAnsi="Arial"/>
          <w:sz w:val="19"/>
          <w:szCs w:val="19"/>
          <w:color w:val="auto"/>
        </w:rPr>
      </w:pPr>
      <w:r>
        <w:rPr>
          <w:rFonts w:ascii="Arial" w:cs="Arial" w:eastAsia="Arial" w:hAnsi="Arial"/>
          <w:sz w:val="15"/>
          <w:szCs w:val="15"/>
          <w:color w:val="auto"/>
        </w:rPr>
        <w:t>other factors beyond our control, including popular uprisings, terrorism, war (including the significant military action against Ukraine launched by</w:t>
      </w:r>
    </w:p>
    <w:p>
      <w:pPr>
        <w:spacing w:after="0" w:line="6" w:lineRule="exact"/>
        <w:rPr>
          <w:sz w:val="20"/>
          <w:szCs w:val="20"/>
          <w:color w:val="auto"/>
        </w:rPr>
      </w:pPr>
    </w:p>
    <w:p>
      <w:pPr>
        <w:ind w:left="560" w:right="300"/>
        <w:spacing w:after="0" w:line="244" w:lineRule="auto"/>
        <w:rPr>
          <w:sz w:val="20"/>
          <w:szCs w:val="20"/>
          <w:color w:val="auto"/>
        </w:rPr>
      </w:pPr>
      <w:r>
        <w:rPr>
          <w:rFonts w:ascii="Arial" w:cs="Arial" w:eastAsia="Arial" w:hAnsi="Arial"/>
          <w:sz w:val="15"/>
          <w:szCs w:val="15"/>
          <w:color w:val="auto"/>
        </w:rPr>
        <w:t>Russia and any related political or economic responses and counter-responses or otherwise by various global actors or the general effect on the global economy), natural disasters, and diseases and pandemics, such as COVID-19.</w:t>
      </w:r>
    </w:p>
    <w:p>
      <w:pPr>
        <w:spacing w:after="0" w:line="1" w:lineRule="exact"/>
        <w:rPr>
          <w:sz w:val="20"/>
          <w:szCs w:val="20"/>
          <w:color w:val="auto"/>
        </w:rPr>
      </w:pPr>
    </w:p>
    <w:p>
      <w:pPr>
        <w:spacing w:after="0"/>
        <w:rPr>
          <w:sz w:val="20"/>
          <w:szCs w:val="20"/>
          <w:color w:val="auto"/>
        </w:rPr>
      </w:pPr>
      <w:r>
        <w:rPr>
          <w:rFonts w:ascii="Arial" w:cs="Arial" w:eastAsia="Arial" w:hAnsi="Arial"/>
          <w:sz w:val="15"/>
          <w:szCs w:val="15"/>
          <w:color w:val="auto"/>
        </w:rPr>
        <w:t>Some of our business partners also have international operations and are subject to the risks described above.</w:t>
      </w:r>
    </w:p>
    <w:p>
      <w:pPr>
        <w:spacing w:after="0" w:line="216" w:lineRule="exact"/>
        <w:rPr>
          <w:sz w:val="20"/>
          <w:szCs w:val="20"/>
          <w:color w:val="auto"/>
        </w:rPr>
      </w:pPr>
    </w:p>
    <w:p>
      <w:pPr>
        <w:ind w:firstLine="387"/>
        <w:spacing w:after="0" w:line="234" w:lineRule="auto"/>
        <w:rPr>
          <w:sz w:val="20"/>
          <w:szCs w:val="20"/>
          <w:color w:val="auto"/>
        </w:rPr>
      </w:pPr>
      <w:r>
        <w:rPr>
          <w:rFonts w:ascii="Arial" w:cs="Arial" w:eastAsia="Arial" w:hAnsi="Arial"/>
          <w:sz w:val="15"/>
          <w:szCs w:val="15"/>
          <w:color w:val="auto"/>
        </w:rPr>
        <w:t>The application of the Trade and Cooperation Agreement between the European Union, the European Atomic Energy Community, and the United Kingdom signed in December 2020 (the “TCA”), which took effect January 1, 2021, could have adverse tax, tax treaty, banking, operational, legal, regulatory, or other impacts on our businesses in the region. The withdrawal could also, among other potential outcomes, create currency volatility; disrupt the free movement of goods, services, and people between the United Kingdom and the European Union; and significantly disrupt trade between the United Kingdom and the European Union and other parties. Uncertainty around these and related issues could lead to adverse effects on the United Kingdom economy, the European Union economies, and the other economies in which we operate.</w:t>
      </w:r>
    </w:p>
    <w:p>
      <w:pPr>
        <w:spacing w:after="0" w:line="198" w:lineRule="exact"/>
        <w:rPr>
          <w:sz w:val="20"/>
          <w:szCs w:val="20"/>
          <w:color w:val="auto"/>
        </w:rPr>
      </w:pPr>
    </w:p>
    <w:p>
      <w:pPr>
        <w:ind w:right="160" w:firstLine="422"/>
        <w:spacing w:after="0" w:line="235" w:lineRule="auto"/>
        <w:rPr>
          <w:sz w:val="20"/>
          <w:szCs w:val="20"/>
          <w:color w:val="auto"/>
        </w:rPr>
      </w:pPr>
      <w:r>
        <w:rPr>
          <w:rFonts w:ascii="Arial" w:cs="Arial" w:eastAsia="Arial" w:hAnsi="Arial"/>
          <w:sz w:val="15"/>
          <w:szCs w:val="15"/>
          <w:color w:val="auto"/>
        </w:rPr>
        <w:t>In addition, in recent years, the United States has instituted or proposed changes to foreign trade policy, including the negotiation or termination of trade agreements, the imposition of tariffs on products imported from certain countries, economic sanctions on individuals, corporations, or countries, and other government regulations affecting trade between the United States and other countries in which we do business. More recently, the United States and other global actors have imposed sanctions as a result of the significant military action against Ukraine launched by Russia. New or increased tariffs and other changes in U.S. trade policy, including new sanctions, could trigger retaliatory actions by affected countries, including Russia. In addition,</w:t>
      </w:r>
    </w:p>
    <w:p>
      <w:pPr>
        <w:spacing w:after="0" w:line="200" w:lineRule="exact"/>
        <w:rPr>
          <w:sz w:val="20"/>
          <w:szCs w:val="20"/>
          <w:color w:val="auto"/>
        </w:rPr>
      </w:pPr>
    </w:p>
    <w:p>
      <w:pPr>
        <w:spacing w:after="0" w:line="268"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0" w:right="680" w:bottom="1440" w:gutter="0" w:footer="0" w:header="0"/>
        </w:sectPr>
      </w:pPr>
    </w:p>
    <w:bookmarkStart w:id="53" w:name="page54"/>
    <w:bookmarkEnd w:id="53"/>
    <w:p>
      <w:pPr>
        <w:ind w:right="40"/>
        <w:spacing w:after="0" w:line="237" w:lineRule="auto"/>
        <w:rPr>
          <w:sz w:val="20"/>
          <w:szCs w:val="20"/>
          <w:color w:val="auto"/>
        </w:rPr>
      </w:pPr>
      <w:r>
        <w:rPr>
          <w:rFonts w:ascii="Arial" w:cs="Arial" w:eastAsia="Arial" w:hAnsi="Arial"/>
          <w:sz w:val="15"/>
          <w:szCs w:val="15"/>
          <w:color w:val="auto"/>
        </w:rPr>
        <w:t>certain foreign governments, including the Chinese government, have instituted or considered imposing trade sanctions on certain U.S. -manufactured goods. The escalation of protectionist or retaliatory trade measures in either the United States or any other countries in which we do business, such as announcing sanctions, a change in tariff structures, export compliance, or other trade policies, may increase the cost of, or otherwise interfere with, the conduct of our business, and could have a material adverse effect on our operations and business outlook.</w:t>
      </w:r>
    </w:p>
    <w:p>
      <w:pPr>
        <w:spacing w:after="0" w:line="197" w:lineRule="exact"/>
        <w:rPr>
          <w:sz w:val="20"/>
          <w:szCs w:val="20"/>
          <w:color w:val="auto"/>
        </w:rPr>
      </w:pPr>
    </w:p>
    <w:p>
      <w:pPr>
        <w:ind w:right="200" w:firstLine="422"/>
        <w:spacing w:after="0" w:line="255" w:lineRule="auto"/>
        <w:rPr>
          <w:sz w:val="20"/>
          <w:szCs w:val="20"/>
          <w:color w:val="auto"/>
        </w:rPr>
      </w:pPr>
      <w:r>
        <w:rPr>
          <w:rFonts w:ascii="Arial" w:cs="Arial" w:eastAsia="Arial" w:hAnsi="Arial"/>
          <w:sz w:val="15"/>
          <w:szCs w:val="15"/>
          <w:color w:val="auto"/>
        </w:rPr>
        <w:t>Even if we are able to successfully manage the risks of international operations, our business may be adversely affected if our business partners are not able to successfully manage these risks.</w:t>
      </w:r>
    </w:p>
    <w:p>
      <w:pPr>
        <w:spacing w:after="0" w:line="178"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We may not be able to predict subscription renewal rates and their impact on our future revenue and operating results.</w:t>
      </w:r>
    </w:p>
    <w:p>
      <w:pPr>
        <w:spacing w:after="0" w:line="232" w:lineRule="exact"/>
        <w:rPr>
          <w:sz w:val="20"/>
          <w:szCs w:val="20"/>
          <w:color w:val="auto"/>
        </w:rPr>
      </w:pPr>
    </w:p>
    <w:p>
      <w:pPr>
        <w:ind w:firstLine="351"/>
        <w:spacing w:after="0" w:line="234" w:lineRule="auto"/>
        <w:rPr>
          <w:sz w:val="20"/>
          <w:szCs w:val="20"/>
          <w:color w:val="auto"/>
        </w:rPr>
      </w:pPr>
      <w:r>
        <w:rPr>
          <w:rFonts w:ascii="Arial" w:cs="Arial" w:eastAsia="Arial" w:hAnsi="Arial"/>
          <w:sz w:val="15"/>
          <w:szCs w:val="15"/>
          <w:color w:val="auto"/>
        </w:rPr>
        <w:t>We are dependent on attracting new customers as well as renewing and expanding our business with existing customers. Our customers are not obligated to renew their subscriptions for our offerings, and they may elect not to renew, upgrade, or expand their subscriptions. We cannot assure renewal rates or the mix of subscriptions renewals. Customer renewal rates may decline or fluctuate due to a number of factors, including offering pricing; competitive offerings; customer satisfaction; and reductions in customer spending levels, customer activity, or number of users due to economic downturns, including as a result of the current COVID-19 pandemic, or financial markets uncertainty. If our customers do not renew their subscriptions or if they renew on less favorable terms, our revenues may decline.</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Existing and increased competition and rapidly evolving technological changes may reduce our revenue and profits.</w:t>
      </w:r>
    </w:p>
    <w:p>
      <w:pPr>
        <w:spacing w:after="0" w:line="232" w:lineRule="exact"/>
        <w:rPr>
          <w:sz w:val="20"/>
          <w:szCs w:val="20"/>
          <w:color w:val="auto"/>
        </w:rPr>
      </w:pPr>
    </w:p>
    <w:p>
      <w:pPr>
        <w:ind w:firstLine="351"/>
        <w:spacing w:after="0" w:line="247" w:lineRule="auto"/>
        <w:rPr>
          <w:sz w:val="20"/>
          <w:szCs w:val="20"/>
          <w:color w:val="auto"/>
        </w:rPr>
      </w:pPr>
      <w:r>
        <w:rPr>
          <w:rFonts w:ascii="Arial" w:cs="Arial" w:eastAsia="Arial" w:hAnsi="Arial"/>
          <w:sz w:val="15"/>
          <w:szCs w:val="15"/>
          <w:color w:val="auto"/>
        </w:rPr>
        <w:t xml:space="preserve">The software industry has limited barriers to entry, and the availability of computing devices with continually expanding performance at progressively lower prices contributes to the ease of market entry. The industry has undergone a transition from developing and selling perpetual licenses and on-premises products to </w:t>
      </w:r>
      <w:r>
        <w:rPr>
          <w:rFonts w:ascii="Arial" w:cs="Arial" w:eastAsia="Arial" w:hAnsi="Arial"/>
          <w:sz w:val="15"/>
          <w:szCs w:val="15"/>
          <w:color w:val="212529"/>
        </w:rPr>
        <w:t>subscriptions and cloud-enabled technologies</w:t>
      </w:r>
      <w:r>
        <w:rPr>
          <w:rFonts w:ascii="Arial" w:cs="Arial" w:eastAsia="Arial" w:hAnsi="Arial"/>
          <w:sz w:val="15"/>
          <w:szCs w:val="15"/>
          <w:color w:val="auto"/>
        </w:rPr>
        <w:t>. This shift further lowers barriers to entry and poses a disruptive challenge to established software companies. The markets in which we operate are characterized by vigorous competition, both by entrants with innovative technologies and by consolidation of companies with complementary offerings and technologies. Some of our competitors have greater financial, technical, sales and marketing, and other resources. Furthermore, a reduction in the number and availability of compatible third-party applications or our inability to rapidly adapt to technological and customer preference changes, including those related to cloud computing, mobile devices, and new computing platforms, may adversely affect the sale of our solutions. Because of these and other factors, competitive conditions in the industry are likely to intensify in the future. Increased competition could result in price reductions, reduced net revenue and profit margins, and loss of market share, any of which would likely harm our business.</w:t>
      </w:r>
    </w:p>
    <w:p>
      <w:pPr>
        <w:spacing w:after="0" w:line="201" w:lineRule="exact"/>
        <w:rPr>
          <w:sz w:val="20"/>
          <w:szCs w:val="20"/>
          <w:color w:val="auto"/>
        </w:rPr>
      </w:pPr>
    </w:p>
    <w:p>
      <w:pPr>
        <w:ind w:right="500"/>
        <w:spacing w:after="0" w:line="279" w:lineRule="auto"/>
        <w:rPr>
          <w:sz w:val="20"/>
          <w:szCs w:val="20"/>
          <w:color w:val="auto"/>
        </w:rPr>
      </w:pPr>
      <w:r>
        <w:rPr>
          <w:rFonts w:ascii="Arial" w:cs="Arial" w:eastAsia="Arial" w:hAnsi="Arial"/>
          <w:sz w:val="15"/>
          <w:szCs w:val="15"/>
          <w:i w:val="1"/>
          <w:iCs w:val="1"/>
          <w:color w:val="auto"/>
        </w:rPr>
        <w:t>Our financial results, key metrics, and other operating metrics fluctuate within each quarter and from quarter to quarter, making our future revenue and financial results difficult to predict.</w:t>
      </w:r>
    </w:p>
    <w:p>
      <w:pPr>
        <w:spacing w:after="0" w:line="179" w:lineRule="exact"/>
        <w:rPr>
          <w:sz w:val="20"/>
          <w:szCs w:val="20"/>
          <w:color w:val="auto"/>
        </w:rPr>
      </w:pPr>
    </w:p>
    <w:p>
      <w:pPr>
        <w:ind w:right="80" w:firstLine="351"/>
        <w:spacing w:after="0" w:line="249" w:lineRule="auto"/>
        <w:rPr>
          <w:sz w:val="20"/>
          <w:szCs w:val="20"/>
          <w:color w:val="auto"/>
        </w:rPr>
      </w:pPr>
      <w:r>
        <w:rPr>
          <w:rFonts w:ascii="Arial" w:cs="Arial" w:eastAsia="Arial" w:hAnsi="Arial"/>
          <w:sz w:val="15"/>
          <w:szCs w:val="15"/>
          <w:color w:val="auto"/>
        </w:rPr>
        <w:t>Our quarterly financial results, key metrics, and other operating metrics have fluctuated in the past and will continue to do so in the future. These fluctuations could cause our stock price to change significantly or experience declines. We also provide investors with quarterly and annual financial forward-looking guidance that could prove to be inaccurate as a result of these fluctuations. In addition to the other risks described in these risk factors, some of the factors that could cause our financial results, key metrics, and other operating metrics to fluctuate include:</w:t>
      </w:r>
    </w:p>
    <w:p>
      <w:pPr>
        <w:spacing w:after="0" w:line="22" w:lineRule="exact"/>
        <w:rPr>
          <w:sz w:val="20"/>
          <w:szCs w:val="20"/>
          <w:color w:val="auto"/>
        </w:rPr>
      </w:pPr>
    </w:p>
    <w:p>
      <w:pPr>
        <w:ind w:left="560" w:right="220" w:hanging="275"/>
        <w:spacing w:after="0" w:line="232"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general market, economic, business, and political conditions in Europe, APAC, and emerging economies, including from an economic downturn or recession in the United States or other countries;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failure to produce sufficient revenue, billings, subscription, profitability, and cash flow growth, including as a result of the COVID-19 pandemic;</w:t>
      </w:r>
    </w:p>
    <w:p>
      <w:pPr>
        <w:spacing w:after="0" w:line="31" w:lineRule="exact"/>
        <w:rPr>
          <w:rFonts w:ascii="Arial" w:cs="Arial" w:eastAsia="Arial" w:hAnsi="Arial"/>
          <w:sz w:val="19"/>
          <w:szCs w:val="19"/>
          <w:color w:val="auto"/>
        </w:rPr>
      </w:pPr>
    </w:p>
    <w:p>
      <w:pPr>
        <w:ind w:left="560" w:right="400" w:hanging="275"/>
        <w:spacing w:after="0" w:line="232"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failure to accurately predict the impact of acquired businesses or to identify and realize the anticipated benefits of acquisitions, and successfully integrate such acquired businesses and technologies;</w:t>
      </w:r>
    </w:p>
    <w:p>
      <w:pPr>
        <w:spacing w:after="0" w:line="1" w:lineRule="exact"/>
        <w:rPr>
          <w:rFonts w:ascii="Arial" w:cs="Arial" w:eastAsia="Arial" w:hAnsi="Arial"/>
          <w:sz w:val="19"/>
          <w:szCs w:val="19"/>
          <w:color w:val="auto"/>
        </w:rPr>
      </w:pPr>
    </w:p>
    <w:p>
      <w:pPr>
        <w:ind w:left="560" w:hanging="275"/>
        <w:spacing w:after="0" w:line="218"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shift to named-user plans and annual billing of multi-year contracts;</w:t>
      </w:r>
    </w:p>
    <w:p>
      <w:pPr>
        <w:spacing w:after="0" w:line="12" w:lineRule="exact"/>
        <w:rPr>
          <w:rFonts w:ascii="Arial" w:cs="Arial" w:eastAsia="Arial" w:hAnsi="Arial"/>
          <w:sz w:val="19"/>
          <w:szCs w:val="19"/>
          <w:color w:val="auto"/>
        </w:rPr>
      </w:pPr>
    </w:p>
    <w:p>
      <w:pPr>
        <w:ind w:left="560" w:hanging="275"/>
        <w:spacing w:after="0" w:line="218"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potential goodwill impairment charges related to prior acquisitions;</w:t>
      </w:r>
    </w:p>
    <w:p>
      <w:pPr>
        <w:spacing w:after="0" w:line="12" w:lineRule="exact"/>
        <w:rPr>
          <w:rFonts w:ascii="Arial" w:cs="Arial" w:eastAsia="Arial" w:hAnsi="Arial"/>
          <w:sz w:val="19"/>
          <w:szCs w:val="19"/>
          <w:color w:val="auto"/>
        </w:rPr>
      </w:pPr>
    </w:p>
    <w:p>
      <w:pPr>
        <w:ind w:left="560" w:hanging="275"/>
        <w:spacing w:after="0" w:line="218"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failure to manage spend;</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changes in billings linearity;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changes in subscription mix, pricing pressure, or changes in subscription pricing;</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weak or negative growth in one or more of the industries we serve, including AEC, manufacturing, and digital media and entertainment markets;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the success of new business or sales initiatives;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7"/>
        </w:numPr>
        <w:rPr>
          <w:rFonts w:ascii="Arial" w:cs="Arial" w:eastAsia="Arial" w:hAnsi="Arial"/>
          <w:sz w:val="19"/>
          <w:szCs w:val="19"/>
          <w:color w:val="auto"/>
        </w:rPr>
      </w:pPr>
      <w:r>
        <w:rPr>
          <w:rFonts w:ascii="Arial" w:cs="Arial" w:eastAsia="Arial" w:hAnsi="Arial"/>
          <w:sz w:val="15"/>
          <w:szCs w:val="15"/>
          <w:color w:val="auto"/>
        </w:rPr>
        <w:t>security breaches, related reputational harm, and potential financial penalties to customers and government entities;</w:t>
      </w:r>
    </w:p>
    <w:p>
      <w:pPr>
        <w:spacing w:after="0" w:line="200" w:lineRule="exact"/>
        <w:rPr>
          <w:sz w:val="20"/>
          <w:szCs w:val="20"/>
          <w:color w:val="auto"/>
        </w:rPr>
      </w:pPr>
    </w:p>
    <w:p>
      <w:pPr>
        <w:spacing w:after="0" w:line="288"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54" w:name="page55"/>
    <w:bookmarkEnd w:id="54"/>
    <w:p>
      <w:pPr>
        <w:ind w:left="560" w:hanging="275"/>
        <w:spacing w:after="0"/>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restructuring or other accounting charges and unexpected costs or other operating expenses;</w:t>
      </w:r>
    </w:p>
    <w:p>
      <w:pPr>
        <w:spacing w:after="0" w:line="1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timing of additional investments in our technologies or deployment of our services;</w:t>
      </w:r>
    </w:p>
    <w:p>
      <w:pPr>
        <w:spacing w:after="0" w:line="31" w:lineRule="exact"/>
        <w:rPr>
          <w:rFonts w:ascii="Arial" w:cs="Arial" w:eastAsia="Arial" w:hAnsi="Arial"/>
          <w:sz w:val="19"/>
          <w:szCs w:val="19"/>
          <w:color w:val="auto"/>
        </w:rPr>
      </w:pPr>
    </w:p>
    <w:p>
      <w:pPr>
        <w:ind w:left="560" w:right="160" w:hanging="275"/>
        <w:spacing w:after="0" w:line="232"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changes in revenue recognition or other accounting guidelines employed by us and/or established by the Financial Accounting Standards Board, Securities and Exchange Commission, or other rulemaking bodies;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fluctuations in foreign currency exchange rates and the effectiveness of our hedging activity;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dependence on and timing of large transactions;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adjustments arising from ongoing or future tax examinations;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the ability of governments around the world to adopt fiscal policies, meet their financial and debt obligations, and finance infrastructure projects;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failure to expand our AutoCAD and AutoCAD LT customer base to related design products and services;</w:t>
      </w:r>
    </w:p>
    <w:p>
      <w:pPr>
        <w:spacing w:after="0" w:line="31" w:lineRule="exact"/>
        <w:rPr>
          <w:rFonts w:ascii="Arial" w:cs="Arial" w:eastAsia="Arial" w:hAnsi="Arial"/>
          <w:sz w:val="19"/>
          <w:szCs w:val="19"/>
          <w:color w:val="auto"/>
        </w:rPr>
      </w:pPr>
    </w:p>
    <w:p>
      <w:pPr>
        <w:ind w:left="560" w:right="20" w:hanging="275"/>
        <w:spacing w:after="0" w:line="232"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our ability to rapidly adapt to technological and customer preference changes, including those related to cloud computing, mobile devices, and new computing platforms;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timing of the introduction of new products by us or our competitors;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the financial and business condition of our reseller and distribution channels;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perceived or actual technical or other problems with a product or combination of subscriptions;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unexpected or negative outcomes of matters and expenses relating to litigation or regulatory inquiries;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increases in cloud functionality-related expenses;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timing of releases and retirements of offerings;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changes in tax laws or tax or accounting rules and regulations, such as increased use of fair value measures;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changes in sales compensation practices;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failure to effectively implement and maintain our copyright legalization programs, especially in developing countries;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renegotiation or termination of royalty or intellectual property arrangements;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interruptions or terminations in the business of our consultants or third-party developers;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timing and degree of expected investments in growth and efficiency opportunities;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8"/>
        </w:numPr>
        <w:rPr>
          <w:rFonts w:ascii="Arial" w:cs="Arial" w:eastAsia="Arial" w:hAnsi="Arial"/>
          <w:sz w:val="19"/>
          <w:szCs w:val="19"/>
          <w:color w:val="auto"/>
        </w:rPr>
      </w:pPr>
      <w:r>
        <w:rPr>
          <w:rFonts w:ascii="Arial" w:cs="Arial" w:eastAsia="Arial" w:hAnsi="Arial"/>
          <w:sz w:val="15"/>
          <w:szCs w:val="15"/>
          <w:color w:val="auto"/>
        </w:rPr>
        <w:t>failure to achieve continued success in technology advancements;</w:t>
      </w:r>
    </w:p>
    <w:p>
      <w:pPr>
        <w:ind w:left="280"/>
        <w:spacing w:after="0"/>
        <w:tabs>
          <w:tab w:leader="none" w:pos="540" w:val="left"/>
          <w:tab w:leader="none" w:pos="7880" w:val="left"/>
        </w:tabs>
        <w:rPr>
          <w:sz w:val="20"/>
          <w:szCs w:val="20"/>
          <w:color w:val="auto"/>
        </w:rPr>
      </w:pPr>
      <w:r>
        <w:rPr>
          <w:rFonts w:ascii="Arial" w:cs="Arial" w:eastAsia="Arial" w:hAnsi="Arial"/>
          <w:sz w:val="19"/>
          <w:szCs w:val="19"/>
          <w:color w:val="auto"/>
        </w:rPr>
        <w:t>•</w:t>
      </w:r>
      <w:r>
        <w:rPr>
          <w:sz w:val="20"/>
          <w:szCs w:val="20"/>
          <w:color w:val="auto"/>
        </w:rPr>
        <w:tab/>
      </w:r>
      <w:r>
        <w:rPr>
          <w:rFonts w:ascii="Arial" w:cs="Arial" w:eastAsia="Arial" w:hAnsi="Arial"/>
          <w:sz w:val="15"/>
          <w:szCs w:val="15"/>
          <w:color w:val="auto"/>
        </w:rPr>
        <w:t>catastrophic events, natural disasters, or public health events, such as pandemics and epidemics, including</w:t>
        <w:tab/>
        <w:t>COVID-19;</w:t>
      </w:r>
    </w:p>
    <w:p>
      <w:pPr>
        <w:spacing w:after="0" w:line="27" w:lineRule="exact"/>
        <w:rPr>
          <w:sz w:val="20"/>
          <w:szCs w:val="20"/>
          <w:color w:val="auto"/>
        </w:rPr>
      </w:pPr>
    </w:p>
    <w:p>
      <w:pPr>
        <w:ind w:left="560" w:hanging="275"/>
        <w:spacing w:after="0"/>
        <w:tabs>
          <w:tab w:leader="none" w:pos="560" w:val="left"/>
        </w:tabs>
        <w:numPr>
          <w:ilvl w:val="0"/>
          <w:numId w:val="29"/>
        </w:numPr>
        <w:rPr>
          <w:rFonts w:ascii="Arial" w:cs="Arial" w:eastAsia="Arial" w:hAnsi="Arial"/>
          <w:sz w:val="19"/>
          <w:szCs w:val="19"/>
          <w:color w:val="auto"/>
        </w:rPr>
      </w:pPr>
      <w:r>
        <w:rPr>
          <w:rFonts w:ascii="Arial" w:cs="Arial" w:eastAsia="Arial" w:hAnsi="Arial"/>
          <w:sz w:val="15"/>
          <w:szCs w:val="15"/>
          <w:color w:val="auto"/>
        </w:rPr>
        <w:t>regulatory compliance costs; and</w:t>
      </w:r>
    </w:p>
    <w:p>
      <w:pPr>
        <w:spacing w:after="0" w:line="1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29"/>
        </w:numPr>
        <w:rPr>
          <w:rFonts w:ascii="Arial" w:cs="Arial" w:eastAsia="Arial" w:hAnsi="Arial"/>
          <w:sz w:val="19"/>
          <w:szCs w:val="19"/>
          <w:color w:val="auto"/>
        </w:rPr>
      </w:pPr>
      <w:r>
        <w:rPr>
          <w:rFonts w:ascii="Arial" w:cs="Arial" w:eastAsia="Arial" w:hAnsi="Arial"/>
          <w:sz w:val="15"/>
          <w:szCs w:val="15"/>
          <w:color w:val="auto"/>
        </w:rPr>
        <w:t>failure to appropriately estimate the scope of services under consulting arrangements.</w:t>
      </w:r>
    </w:p>
    <w:p>
      <w:pPr>
        <w:spacing w:after="0" w:line="219" w:lineRule="exact"/>
        <w:rPr>
          <w:sz w:val="20"/>
          <w:szCs w:val="20"/>
          <w:color w:val="auto"/>
        </w:rPr>
      </w:pPr>
    </w:p>
    <w:p>
      <w:pPr>
        <w:ind w:right="140" w:firstLine="351"/>
        <w:spacing w:after="0" w:line="235" w:lineRule="auto"/>
        <w:rPr>
          <w:sz w:val="20"/>
          <w:szCs w:val="20"/>
          <w:color w:val="auto"/>
        </w:rPr>
      </w:pPr>
      <w:r>
        <w:rPr>
          <w:rFonts w:ascii="Arial" w:cs="Arial" w:eastAsia="Arial" w:hAnsi="Arial"/>
          <w:sz w:val="15"/>
          <w:szCs w:val="15"/>
          <w:color w:val="auto"/>
        </w:rPr>
        <w:t>We have also experienced fluctuations in financial results in interim periods in certain geographic regions due to seasonality or regional economic or political conditions. In particular, our financial results, key metrics, or other operating metrics in Europe during our third quarter are usually affected by a slower summer period, and our APAC operations typically experience seasonal slowing in our fourth quarter. War, including the significant military action against Ukraine launched by Russia and any related political or economic responses and counter-responses or otherwise by various global actors or the general effect on the global economy, could also affect our business.</w:t>
      </w:r>
    </w:p>
    <w:p>
      <w:pPr>
        <w:spacing w:after="0" w:line="198" w:lineRule="exact"/>
        <w:rPr>
          <w:sz w:val="20"/>
          <w:szCs w:val="20"/>
          <w:color w:val="auto"/>
        </w:rPr>
      </w:pPr>
    </w:p>
    <w:p>
      <w:pPr>
        <w:ind w:right="60" w:firstLine="351"/>
        <w:spacing w:after="0" w:line="257" w:lineRule="auto"/>
        <w:rPr>
          <w:sz w:val="20"/>
          <w:szCs w:val="20"/>
          <w:color w:val="auto"/>
        </w:rPr>
      </w:pPr>
      <w:r>
        <w:rPr>
          <w:rFonts w:ascii="Arial" w:cs="Arial" w:eastAsia="Arial" w:hAnsi="Arial"/>
          <w:sz w:val="15"/>
          <w:szCs w:val="15"/>
          <w:color w:val="auto"/>
        </w:rPr>
        <w:t>Our operating expenses are based in part on our expectations for future revenue and are relatively fixed in the short term. Accordingly, any revenue shortfall below expectations has had, and in the future could have, an immediate and significant adverse effect on our profitability. Greater than anticipated expenses or a failure to maintain rigorous cost controls would also negatively affect profitability.</w:t>
      </w:r>
    </w:p>
    <w:p>
      <w:pPr>
        <w:spacing w:after="0" w:line="190" w:lineRule="exact"/>
        <w:rPr>
          <w:sz w:val="20"/>
          <w:szCs w:val="20"/>
          <w:color w:val="auto"/>
        </w:rPr>
      </w:pPr>
    </w:p>
    <w:p>
      <w:pPr>
        <w:spacing w:after="0" w:line="279" w:lineRule="auto"/>
        <w:rPr>
          <w:sz w:val="20"/>
          <w:szCs w:val="20"/>
          <w:color w:val="auto"/>
        </w:rPr>
      </w:pPr>
      <w:r>
        <w:rPr>
          <w:rFonts w:ascii="Arial" w:cs="Arial" w:eastAsia="Arial" w:hAnsi="Arial"/>
          <w:sz w:val="15"/>
          <w:szCs w:val="15"/>
          <w:i w:val="1"/>
          <w:iCs w:val="1"/>
          <w:color w:val="auto"/>
        </w:rPr>
        <w:t>We derive a substantial portion of our net revenue from a small number of solutions, including our AutoCAD-based software products and collections, and if these offerings are not successful, our revenue would be adversely affected.</w:t>
      </w:r>
    </w:p>
    <w:p>
      <w:pPr>
        <w:spacing w:after="0" w:line="179" w:lineRule="exact"/>
        <w:rPr>
          <w:sz w:val="20"/>
          <w:szCs w:val="20"/>
          <w:color w:val="auto"/>
        </w:rPr>
      </w:pPr>
    </w:p>
    <w:p>
      <w:pPr>
        <w:ind w:right="40" w:firstLine="387"/>
        <w:spacing w:after="0" w:line="249" w:lineRule="auto"/>
        <w:rPr>
          <w:sz w:val="20"/>
          <w:szCs w:val="20"/>
          <w:color w:val="auto"/>
        </w:rPr>
      </w:pPr>
      <w:r>
        <w:rPr>
          <w:rFonts w:ascii="Arial" w:cs="Arial" w:eastAsia="Arial" w:hAnsi="Arial"/>
          <w:sz w:val="15"/>
          <w:szCs w:val="15"/>
          <w:color w:val="auto"/>
        </w:rPr>
        <w:t>We derive a substantial portion of our net revenue from sales of subscriptions of a limited number of our offerings, including AutoCAD software, solutions based on AutoCAD, which include our collections that serve specific markets, and products that are interoperable with AutoCAD. Any factor adversely affecting sales of these subscriptions, including the product release cycle, market acceptance, product competition, performance and reliability, reputation, price competition, economic and market conditions, and the availability of third-party applications, would likely harm our financial results. During both the three months ended April 30, 2023 and 2022, combined revenue from our AutoCAD and AutoCAD LT family products, not including collections having AutoCAD or AutoCAD LT as a component, represented 28% of our total net revenue.</w:t>
      </w:r>
    </w:p>
    <w:p>
      <w:pPr>
        <w:spacing w:after="0" w:line="200" w:lineRule="exact"/>
        <w:rPr>
          <w:sz w:val="20"/>
          <w:szCs w:val="20"/>
          <w:color w:val="auto"/>
        </w:rPr>
      </w:pPr>
    </w:p>
    <w:p>
      <w:pPr>
        <w:spacing w:after="0" w:line="273" w:lineRule="exact"/>
        <w:rPr>
          <w:sz w:val="20"/>
          <w:szCs w:val="20"/>
          <w:color w:val="auto"/>
        </w:rPr>
      </w:pPr>
    </w:p>
    <w:p>
      <w:pPr>
        <w:jc w:val="center"/>
        <w:ind w:right="-139"/>
        <w:spacing w:after="0"/>
        <w:rPr>
          <w:sz w:val="20"/>
          <w:szCs w:val="20"/>
          <w:color w:val="auto"/>
        </w:rPr>
      </w:pPr>
      <w:r>
        <w:rPr>
          <w:rFonts w:ascii="Arial" w:cs="Arial" w:eastAsia="Arial" w:hAnsi="Arial"/>
          <w:sz w:val="15"/>
          <w:szCs w:val="15"/>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440"/>
          </w:cols>
          <w:pgMar w:left="660" w:top="1239" w:right="800" w:bottom="1440" w:gutter="0" w:footer="0" w:header="0"/>
        </w:sectPr>
      </w:pPr>
    </w:p>
    <w:bookmarkStart w:id="55" w:name="page56"/>
    <w:bookmarkEnd w:id="55"/>
    <w:p>
      <w:pPr>
        <w:spacing w:after="0" w:line="7" w:lineRule="exact"/>
        <w:rPr>
          <w:sz w:val="20"/>
          <w:szCs w:val="20"/>
          <w:color w:val="auto"/>
        </w:rPr>
      </w:pPr>
    </w:p>
    <w:p>
      <w:pPr>
        <w:ind w:right="320"/>
        <w:spacing w:after="0" w:line="279" w:lineRule="auto"/>
        <w:rPr>
          <w:sz w:val="20"/>
          <w:szCs w:val="20"/>
          <w:color w:val="auto"/>
        </w:rPr>
      </w:pPr>
      <w:r>
        <w:rPr>
          <w:rFonts w:ascii="Arial" w:cs="Arial" w:eastAsia="Arial" w:hAnsi="Arial"/>
          <w:sz w:val="15"/>
          <w:szCs w:val="15"/>
          <w:i w:val="1"/>
          <w:iCs w:val="1"/>
          <w:color w:val="auto"/>
        </w:rPr>
        <w:t>From time to time we realign or introduce new business and sales initiatives; if we fail to successfully execute and manage these initiatives, our results of operations could be negatively impacted.</w:t>
      </w:r>
    </w:p>
    <w:p>
      <w:pPr>
        <w:spacing w:after="0" w:line="179" w:lineRule="exact"/>
        <w:rPr>
          <w:sz w:val="20"/>
          <w:szCs w:val="20"/>
          <w:color w:val="auto"/>
        </w:rPr>
      </w:pPr>
    </w:p>
    <w:p>
      <w:pPr>
        <w:ind w:firstLine="351"/>
        <w:spacing w:after="0" w:line="248" w:lineRule="auto"/>
        <w:rPr>
          <w:sz w:val="20"/>
          <w:szCs w:val="20"/>
          <w:color w:val="auto"/>
        </w:rPr>
      </w:pPr>
      <w:r>
        <w:rPr>
          <w:rFonts w:ascii="Arial" w:cs="Arial" w:eastAsia="Arial" w:hAnsi="Arial"/>
          <w:sz w:val="15"/>
          <w:szCs w:val="15"/>
          <w:color w:val="auto"/>
        </w:rPr>
        <w:t>As part of our effort to accommodate our customers’ needs and demands and the rapid evolution of technology, from time to time we evolve our business and sales initiatives, such as shifting to annual billing of multi- year contracts, realigning our development and marketing organizations, offering software as a service, and realigning our internal resources in an effort to improve efficiency. We may take such actions without clear indications that they will prove successful and, at times, we have been met with short-term challenges in the execution of such initiatives. Market acceptance of any new business or sales initiative is dependent on our ability to match our customers’ needs at the right time and price. Often, we have limited prior experience and operating history in these new areas of emphasis. If any of our assumptions about expenses, revenue, or revenue recognition principles from these initiatives proves incorrect, or our attempts to improve efficiency are not successful, our actual results may vary materially from those anticipated, and our financial results will be negatively impacted.</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Net revenue, billings, earnings, cash flow, or subscriptions shortfalls or volatility of the market generally may cause the market price of our stock to decline.</w:t>
      </w:r>
    </w:p>
    <w:p>
      <w:pPr>
        <w:spacing w:after="0" w:line="232" w:lineRule="exact"/>
        <w:rPr>
          <w:sz w:val="20"/>
          <w:szCs w:val="20"/>
          <w:color w:val="auto"/>
        </w:rPr>
      </w:pPr>
    </w:p>
    <w:p>
      <w:pPr>
        <w:ind w:right="320" w:firstLine="351"/>
        <w:spacing w:after="0" w:line="253" w:lineRule="auto"/>
        <w:rPr>
          <w:sz w:val="20"/>
          <w:szCs w:val="20"/>
          <w:color w:val="auto"/>
        </w:rPr>
      </w:pPr>
      <w:r>
        <w:rPr>
          <w:rFonts w:ascii="Arial" w:cs="Arial" w:eastAsia="Arial" w:hAnsi="Arial"/>
          <w:sz w:val="15"/>
          <w:szCs w:val="15"/>
          <w:color w:val="auto"/>
        </w:rPr>
        <w:t>The market price for our common stock has experienced significant fluctuations and may continue to fluctuate significantly. The market price for our common stock may be affected by a number of factors, including the other risks described in these risk factors and the following:</w:t>
      </w:r>
    </w:p>
    <w:p>
      <w:pPr>
        <w:spacing w:after="0" w:line="23" w:lineRule="exact"/>
        <w:rPr>
          <w:sz w:val="20"/>
          <w:szCs w:val="20"/>
          <w:color w:val="auto"/>
        </w:rPr>
      </w:pPr>
    </w:p>
    <w:p>
      <w:pPr>
        <w:ind w:left="560" w:hanging="275"/>
        <w:spacing w:after="0" w:line="236"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shortfalls in our expected financial results, including net revenue, billings, earnings, and cash flow or key performance metrics, such as subscriptions, including as a result of the current COVID-19 pandemic, and how those results compare to securities analyst expectations, including whether those results fail to meet, exceed, or significantly exceed securities analyst expectations;</w:t>
      </w: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quarterly variations in our or our competitors’ results of operations;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general socioeconomic, political, or market conditions, including from an economic downturn or recession in the United States or in other countries;</w:t>
      </w:r>
    </w:p>
    <w:p>
      <w:pPr>
        <w:spacing w:after="0" w:line="31" w:lineRule="exact"/>
        <w:rPr>
          <w:rFonts w:ascii="Arial" w:cs="Arial" w:eastAsia="Arial" w:hAnsi="Arial"/>
          <w:sz w:val="19"/>
          <w:szCs w:val="19"/>
          <w:color w:val="auto"/>
        </w:rPr>
      </w:pPr>
    </w:p>
    <w:p>
      <w:pPr>
        <w:ind w:left="560" w:right="1040" w:hanging="275"/>
        <w:spacing w:after="0" w:line="232"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changes in forward-looking estimates of future results, how those estimates compare to securities analyst expectations, or changes in recommendations or confusion on the part of analysts and investors about the short- and long-term impact to our business;</w:t>
      </w:r>
    </w:p>
    <w:p>
      <w:pPr>
        <w:spacing w:after="0" w:line="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uncertainty about certain governments’ abilities to repay debt or effect fiscal policy;</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announcements of new offerings or enhancements by us or our competitors;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unusual events such as significant acquisitions, divestitures, regulatory actions, and litigation;</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changes in laws, rules, or regulations applicable to our business;</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outstanding debt service obligations; and</w:t>
      </w:r>
    </w:p>
    <w:p>
      <w:pPr>
        <w:spacing w:after="0" w:line="12"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0"/>
        </w:numPr>
        <w:rPr>
          <w:rFonts w:ascii="Arial" w:cs="Arial" w:eastAsia="Arial" w:hAnsi="Arial"/>
          <w:sz w:val="19"/>
          <w:szCs w:val="19"/>
          <w:color w:val="auto"/>
        </w:rPr>
      </w:pPr>
      <w:r>
        <w:rPr>
          <w:rFonts w:ascii="Arial" w:cs="Arial" w:eastAsia="Arial" w:hAnsi="Arial"/>
          <w:sz w:val="15"/>
          <w:szCs w:val="15"/>
          <w:color w:val="auto"/>
        </w:rPr>
        <w:t>other factors, including factors unrelated to our operating performance, such as instability affecting the economy or the operating performance of our</w:t>
      </w:r>
    </w:p>
    <w:p>
      <w:pPr>
        <w:spacing w:after="0" w:line="6" w:lineRule="exact"/>
        <w:rPr>
          <w:sz w:val="20"/>
          <w:szCs w:val="20"/>
          <w:color w:val="auto"/>
        </w:rPr>
      </w:pPr>
    </w:p>
    <w:p>
      <w:pPr>
        <w:ind w:left="560"/>
        <w:spacing w:after="0"/>
        <w:rPr>
          <w:sz w:val="20"/>
          <w:szCs w:val="20"/>
          <w:color w:val="auto"/>
        </w:rPr>
      </w:pPr>
      <w:r>
        <w:rPr>
          <w:rFonts w:ascii="Arial" w:cs="Arial" w:eastAsia="Arial" w:hAnsi="Arial"/>
          <w:sz w:val="15"/>
          <w:szCs w:val="15"/>
          <w:color w:val="auto"/>
        </w:rPr>
        <w:t>competitors.</w:t>
      </w:r>
    </w:p>
    <w:p>
      <w:pPr>
        <w:spacing w:after="0" w:line="3" w:lineRule="exact"/>
        <w:rPr>
          <w:sz w:val="20"/>
          <w:szCs w:val="20"/>
          <w:color w:val="auto"/>
        </w:rPr>
      </w:pPr>
    </w:p>
    <w:p>
      <w:pPr>
        <w:spacing w:after="0" w:line="251" w:lineRule="auto"/>
        <w:rPr>
          <w:sz w:val="20"/>
          <w:szCs w:val="20"/>
          <w:color w:val="auto"/>
        </w:rPr>
      </w:pPr>
      <w:r>
        <w:rPr>
          <w:rFonts w:ascii="Arial" w:cs="Arial" w:eastAsia="Arial" w:hAnsi="Arial"/>
          <w:sz w:val="15"/>
          <w:szCs w:val="15"/>
          <w:color w:val="auto"/>
        </w:rPr>
        <w:t>Significant changes in the price of our common stock could expose us to costly and time-consuming litigation. Historically, after periods of volatility in the market price of a company's securities, a company becomes more susceptible to securities class action litigation. This type of litigation is often expensive and diverts management’s attention and resources.</w:t>
      </w:r>
    </w:p>
    <w:p>
      <w:pPr>
        <w:spacing w:after="0" w:line="193" w:lineRule="exact"/>
        <w:rPr>
          <w:sz w:val="20"/>
          <w:szCs w:val="20"/>
          <w:color w:val="auto"/>
        </w:rPr>
      </w:pPr>
    </w:p>
    <w:p>
      <w:pPr>
        <w:ind w:right="380"/>
        <w:spacing w:after="0" w:line="279" w:lineRule="auto"/>
        <w:rPr>
          <w:sz w:val="20"/>
          <w:szCs w:val="20"/>
          <w:color w:val="auto"/>
        </w:rPr>
      </w:pPr>
      <w:r>
        <w:rPr>
          <w:rFonts w:ascii="Arial" w:cs="Arial" w:eastAsia="Arial" w:hAnsi="Arial"/>
          <w:sz w:val="15"/>
          <w:szCs w:val="15"/>
          <w:i w:val="1"/>
          <w:iCs w:val="1"/>
          <w:color w:val="auto"/>
        </w:rPr>
        <w:t>As a result of our strategy of partnering with other companies for product development, our product delivery schedules could be adversely affected if we experience difficulties with our product development partners.</w:t>
      </w:r>
    </w:p>
    <w:p>
      <w:pPr>
        <w:spacing w:after="0" w:line="179" w:lineRule="exact"/>
        <w:rPr>
          <w:sz w:val="20"/>
          <w:szCs w:val="20"/>
          <w:color w:val="auto"/>
        </w:rPr>
      </w:pPr>
    </w:p>
    <w:p>
      <w:pPr>
        <w:ind w:right="100" w:firstLine="351"/>
        <w:spacing w:after="0" w:line="249" w:lineRule="auto"/>
        <w:rPr>
          <w:sz w:val="20"/>
          <w:szCs w:val="20"/>
          <w:color w:val="auto"/>
        </w:rPr>
      </w:pPr>
      <w:r>
        <w:rPr>
          <w:rFonts w:ascii="Arial" w:cs="Arial" w:eastAsia="Arial" w:hAnsi="Arial"/>
          <w:sz w:val="15"/>
          <w:szCs w:val="15"/>
          <w:color w:val="auto"/>
        </w:rPr>
        <w:t>We partner with certain independent firms and contractors to perform some of our product development activities. We believe our partnering strategy allows us to achieve efficiencies in developing new products and maintaining and enhancing existing product offerings. This strategy creates a dependency on independent developers. Independent developers, including those who currently develop solutions for us in the United States and throughout the world, may not be able or willing to provide development support to us in the future. In addition, use of development resources through consulting relationships, particularly in non-U.S. jurisdictions with developing legal systems, may be adversely impacted by, and expose us to risks relating to, evolving employment, export, and intellectual property laws. These risks could, among other things, expose our intellectual property to misappropriation and result in disruptions to product delivery schedules.</w:t>
      </w:r>
    </w:p>
    <w:p>
      <w:pPr>
        <w:spacing w:after="0" w:line="194"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Social and ethical issues relating to the use of artificial intelligence in our offerings may result in reputational harm or liability.</w:t>
      </w:r>
    </w:p>
    <w:p>
      <w:pPr>
        <w:spacing w:after="0" w:line="200" w:lineRule="exact"/>
        <w:rPr>
          <w:sz w:val="20"/>
          <w:szCs w:val="20"/>
          <w:color w:val="auto"/>
        </w:rPr>
      </w:pPr>
    </w:p>
    <w:p>
      <w:pPr>
        <w:spacing w:after="0" w:line="301"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440" w:right="660" w:bottom="1440" w:gutter="0" w:footer="0" w:header="0"/>
        </w:sectPr>
      </w:pPr>
    </w:p>
    <w:bookmarkStart w:id="56" w:name="page57"/>
    <w:bookmarkEnd w:id="56"/>
    <w:p>
      <w:pPr>
        <w:spacing w:after="0" w:line="13" w:lineRule="exact"/>
        <w:rPr>
          <w:sz w:val="20"/>
          <w:szCs w:val="20"/>
          <w:color w:val="auto"/>
        </w:rPr>
      </w:pPr>
    </w:p>
    <w:p>
      <w:pPr>
        <w:jc w:val="both"/>
        <w:ind w:firstLine="351"/>
        <w:spacing w:after="0" w:line="249" w:lineRule="auto"/>
        <w:rPr>
          <w:sz w:val="20"/>
          <w:szCs w:val="20"/>
          <w:color w:val="auto"/>
        </w:rPr>
      </w:pPr>
      <w:r>
        <w:rPr>
          <w:rFonts w:ascii="Arial" w:cs="Arial" w:eastAsia="Arial" w:hAnsi="Arial"/>
          <w:sz w:val="15"/>
          <w:szCs w:val="15"/>
          <w:color w:val="auto"/>
        </w:rPr>
        <w:t>Social and ethical issues relating to the use of new and evolving technologies such as artificial intelligence (“AI”) in our offerings, may result in reputational harm and liability, and may cause us to incur additional research and development costs to resolve such issues. We are increasingly building AI into many of our offerings. As with many innovations, AI presents risks and challenges that could affect its adoption, and therefore our business. AI presents emerging ethical issues and if we enable or offer solutions that draw controversy due to their perceived or actual impact on society, we may experience brand or reputational harm, competitive harm, or legal liability. Potential government regulation in the space of AI ethics may also increase the burden and cost of research and development in this area, subjecting us to brand or reputational harm, competitive harm, or legal liability. Failure to address AI ethics issues by us or others in our industry could undermine public confidence in AI and slow adoption of AI in our products and services.</w:t>
      </w:r>
    </w:p>
    <w:p>
      <w:pPr>
        <w:spacing w:after="0" w:line="194"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Risks Relating to Our Operations</w:t>
      </w:r>
    </w:p>
    <w:p>
      <w:pPr>
        <w:spacing w:after="0" w:line="226" w:lineRule="exact"/>
        <w:rPr>
          <w:sz w:val="20"/>
          <w:szCs w:val="20"/>
          <w:color w:val="auto"/>
        </w:rPr>
      </w:pPr>
    </w:p>
    <w:p>
      <w:pPr>
        <w:ind w:right="220"/>
        <w:spacing w:after="0" w:line="279" w:lineRule="auto"/>
        <w:rPr>
          <w:sz w:val="20"/>
          <w:szCs w:val="20"/>
          <w:color w:val="auto"/>
        </w:rPr>
      </w:pPr>
      <w:r>
        <w:rPr>
          <w:rFonts w:ascii="Arial" w:cs="Arial" w:eastAsia="Arial" w:hAnsi="Arial"/>
          <w:sz w:val="15"/>
          <w:szCs w:val="15"/>
          <w:i w:val="1"/>
          <w:iCs w:val="1"/>
          <w:color w:val="auto"/>
        </w:rPr>
        <w:t>Security incidents may compromise the integrity of our or our customers’ systems, solutions, offerings, services, applications, data, or intellectual property, harm our reputation, damage our competitiveness, create additional liability, and adversely impact our financial results.</w:t>
      </w:r>
    </w:p>
    <w:p>
      <w:pPr>
        <w:spacing w:after="0" w:line="179" w:lineRule="exact"/>
        <w:rPr>
          <w:sz w:val="20"/>
          <w:szCs w:val="20"/>
          <w:color w:val="auto"/>
        </w:rPr>
      </w:pPr>
    </w:p>
    <w:p>
      <w:pPr>
        <w:jc w:val="both"/>
        <w:ind w:firstLine="351"/>
        <w:spacing w:after="0" w:line="247" w:lineRule="auto"/>
        <w:rPr>
          <w:sz w:val="20"/>
          <w:szCs w:val="20"/>
          <w:color w:val="auto"/>
        </w:rPr>
      </w:pPr>
      <w:r>
        <w:rPr>
          <w:rFonts w:ascii="Arial" w:cs="Arial" w:eastAsia="Arial" w:hAnsi="Arial"/>
          <w:sz w:val="15"/>
          <w:szCs w:val="15"/>
          <w:color w:val="auto"/>
        </w:rPr>
        <w:t>As we digitize Autodesk and use cloud- and web -based technologies to leverage customer data to deliver the total customer experience, we are exposed to increased security risks and the potential for unauthorized access to, or improper use of, our and our customers’ information. Like other software offerings and systems, ours are vulnerable to security incidents, including those from acquired companies. Also, our ability to mitigate the security incident risk may be impacted by our limited control over our customers or third-party technology providers and vendors, or the processing of data by third-party technology providers and vendors, which may not allow us to maintain the integrity or security of such transmissions or processing. We devote significant resources in an effort to maintain the security and integrity of our systems, offerings, services, and applications (online, mobile, and desktop), including by enhancing security features, conducting penetration tests, code hardening, releasing security vulnerability updates, and accelerating our incident response time. We also provide annual information security training to our employees. Despite these efforts, we may not prevent security incidents, and we may face delays or other difficulties in identifying, responding to, or remediating security incidents.</w:t>
      </w:r>
    </w:p>
    <w:p>
      <w:pPr>
        <w:spacing w:after="0" w:line="207" w:lineRule="exact"/>
        <w:rPr>
          <w:sz w:val="20"/>
          <w:szCs w:val="20"/>
          <w:color w:val="auto"/>
        </w:rPr>
      </w:pPr>
    </w:p>
    <w:p>
      <w:pPr>
        <w:jc w:val="both"/>
        <w:ind w:firstLine="351"/>
        <w:spacing w:after="0" w:line="246" w:lineRule="auto"/>
        <w:rPr>
          <w:sz w:val="20"/>
          <w:szCs w:val="20"/>
          <w:color w:val="auto"/>
        </w:rPr>
      </w:pPr>
      <w:r>
        <w:rPr>
          <w:rFonts w:ascii="Arial" w:cs="Arial" w:eastAsia="Arial" w:hAnsi="Arial"/>
          <w:sz w:val="15"/>
          <w:szCs w:val="15"/>
          <w:color w:val="auto"/>
        </w:rPr>
        <w:t>Hackers regularly have targeted our systems, offerings, services, and applications, and we expect them to do so in the future. To date, such identified security events have not been material or significant to us or our customers, including to our reputation or business operations, or had a material financial impact, but there can be no assurance that future cyberattacks will not be material or significant. Security incidents could disrupt the proper functioning of our systems, solutions, offerings, applications, or services; cause errors in the output of our customers’ work; allow unauthorized access to or unauthorized use, disclosure, modification, loss, or destruction of, sensitive data or intellectual property, including proprietary or confidential information of ours or our customers; or cause other destructive outcomes. The risk of a security incident, particularly through cyber-attack or cyber intrusion, including by computer hackers, foreign governments, and cyber terrorists, has increased as the number, intensity, and sophistication of attempted attacks and intrusions from around the world have increased. These threats include identity theft, unauthorized access, DNS attacks, wireless network attacks, viruses and worms, malware, bugs, vulnerabilities, advanced persistent threats (APT), application-centric attacks, peer-to-peer attacks, social engineering, phishing, credential stuffing, malicious file uploads, backdoor trojans, supply chain attacks, ransomware attacks, and distributed denial of service (DDoS) attacks. In addition, third parties may attempt to fraudulently induce our employees, vendors, partners, customers, or users to disclose information to gain access to our data or our customers’ or users’ data and there is the risk of employee, contractor, or vendor error or malfeasance. These existing risks are compounded given the COVID-19 pandemic and the resulting shift to work -from-home arrangements for a large population of employees and contractors, as well as employees and contractors of our third- party technology providers and vendors, and the risks could also be elevated in connection with the Russian invasion of Ukraine as we and our third-party technology providers and vendors are vulnerable to a heightened risk of cyberattacks from or affiliated with nation-state actors, including retaliatory attacks from Russian actors against U.S.-based companies. Despite our significant efforts to create security barriers to such threats, we cannot entirely mitigate these risks, and there is no guarantee that inadvertent or unauthorized use or disclosure of such information will not occur or that third parties will not gain unauthorized access to such information.</w:t>
      </w:r>
    </w:p>
    <w:p>
      <w:pPr>
        <w:spacing w:after="0" w:line="204" w:lineRule="exact"/>
        <w:rPr>
          <w:sz w:val="20"/>
          <w:szCs w:val="20"/>
          <w:color w:val="auto"/>
        </w:rPr>
      </w:pPr>
    </w:p>
    <w:p>
      <w:pPr>
        <w:jc w:val="both"/>
        <w:ind w:firstLine="351"/>
        <w:spacing w:after="0" w:line="251" w:lineRule="auto"/>
        <w:rPr>
          <w:sz w:val="20"/>
          <w:szCs w:val="20"/>
          <w:color w:val="auto"/>
        </w:rPr>
      </w:pPr>
      <w:r>
        <w:rPr>
          <w:rFonts w:ascii="Arial" w:cs="Arial" w:eastAsia="Arial" w:hAnsi="Arial"/>
          <w:sz w:val="15"/>
          <w:szCs w:val="15"/>
          <w:color w:val="auto"/>
        </w:rPr>
        <w:t>Many governments have enacted laws requiring companies to provide notice of security incidents involving certain types of personal data and personal information. We are also contractually required to notify certain customers of certain security incidents. If any of the foregoing security incidents were to occur or to be perceived to have occurred, our reputation may suffer, our competitive position may be diminished, customers (including government customers) may stop paying for our solutions and services, we could be required to expend significant capital and other resources to evaluate and alleviate the security incident and to try to prevent further or additional incidents, and we could face regulatory inquiry, lawsuits, and</w:t>
      </w:r>
    </w:p>
    <w:p>
      <w:pPr>
        <w:spacing w:after="0" w:line="200" w:lineRule="exact"/>
        <w:rPr>
          <w:sz w:val="20"/>
          <w:szCs w:val="20"/>
          <w:color w:val="auto"/>
        </w:rPr>
      </w:pPr>
    </w:p>
    <w:p>
      <w:pPr>
        <w:spacing w:after="0" w:line="269"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440" w:right="660" w:bottom="1440" w:gutter="0" w:footer="0" w:header="0"/>
        </w:sectPr>
      </w:pPr>
    </w:p>
    <w:bookmarkStart w:id="57" w:name="page58"/>
    <w:bookmarkEnd w:id="57"/>
    <w:p>
      <w:pPr>
        <w:jc w:val="both"/>
        <w:ind w:right="60"/>
        <w:spacing w:after="0" w:line="257" w:lineRule="auto"/>
        <w:rPr>
          <w:sz w:val="20"/>
          <w:szCs w:val="20"/>
          <w:color w:val="auto"/>
        </w:rPr>
      </w:pPr>
      <w:r>
        <w:rPr>
          <w:rFonts w:ascii="Arial" w:cs="Arial" w:eastAsia="Arial" w:hAnsi="Arial"/>
          <w:sz w:val="15"/>
          <w:szCs w:val="15"/>
          <w:color w:val="auto"/>
        </w:rPr>
        <w:t>potential liability. We could incur significant costs and liabilities, including due to litigation, indemnity obligations, damages for contract breach, penalties for violation of applicable laws or regulations, and costs for remediation and other incentives offered to customers or other business partners in an effort to maintain business relationships after a security incident, and our financial performance could be negatively impacted.</w:t>
      </w:r>
    </w:p>
    <w:p>
      <w:pPr>
        <w:spacing w:after="0" w:line="196" w:lineRule="exact"/>
        <w:rPr>
          <w:sz w:val="20"/>
          <w:szCs w:val="20"/>
          <w:color w:val="auto"/>
        </w:rPr>
      </w:pPr>
    </w:p>
    <w:p>
      <w:pPr>
        <w:jc w:val="both"/>
        <w:ind w:right="40" w:firstLine="351"/>
        <w:spacing w:after="0" w:line="249" w:lineRule="auto"/>
        <w:rPr>
          <w:sz w:val="20"/>
          <w:szCs w:val="20"/>
          <w:color w:val="auto"/>
        </w:rPr>
      </w:pPr>
      <w:r>
        <w:rPr>
          <w:rFonts w:ascii="Arial" w:cs="Arial" w:eastAsia="Arial" w:hAnsi="Arial"/>
          <w:sz w:val="15"/>
          <w:szCs w:val="15"/>
          <w:color w:val="auto"/>
        </w:rPr>
        <w:t>We cannot assure you that any limitations of liability provisions in our contracts would be enforceable or adequate or would otherwise protect us from any liabilities or damages with respect to any particular claim relating to a security incident. We also cannot be sure that our existing insurance coverage will continue to be available on acceptable terms or will be available in sufficient amounts to cover one or more large claims related to a security incident, or that the insurer will not deny coverage as to any future claim. The successful assertion of one or more large claims against us that exceed available insurance coverage, or the occurrence of changes in our insurance policies, including premium increases or the imposition of large deductible or co-insurance requirements, could have a material adverse effect on our business, including our financial condition, operating results, and reputation.</w:t>
      </w:r>
    </w:p>
    <w:p>
      <w:pPr>
        <w:spacing w:after="0" w:line="232" w:lineRule="exact"/>
        <w:rPr>
          <w:sz w:val="20"/>
          <w:szCs w:val="20"/>
          <w:color w:val="auto"/>
        </w:rPr>
      </w:pPr>
    </w:p>
    <w:p>
      <w:pPr>
        <w:spacing w:after="0" w:line="296" w:lineRule="auto"/>
        <w:rPr>
          <w:sz w:val="20"/>
          <w:szCs w:val="20"/>
          <w:color w:val="auto"/>
        </w:rPr>
      </w:pPr>
      <w:r>
        <w:rPr>
          <w:rFonts w:ascii="Arial" w:cs="Arial" w:eastAsia="Arial" w:hAnsi="Arial"/>
          <w:sz w:val="15"/>
          <w:szCs w:val="15"/>
          <w:i w:val="1"/>
          <w:iCs w:val="1"/>
          <w:color w:val="auto"/>
        </w:rPr>
        <w:t>Our use of third-party open source software could negatively affect our ability to sell subscriptions to access our products and subject us to possible litigation and greater security risks.</w:t>
      </w:r>
    </w:p>
    <w:p>
      <w:pPr>
        <w:spacing w:after="0" w:line="166" w:lineRule="exact"/>
        <w:rPr>
          <w:sz w:val="20"/>
          <w:szCs w:val="20"/>
          <w:color w:val="auto"/>
        </w:rPr>
      </w:pPr>
    </w:p>
    <w:p>
      <w:pPr>
        <w:jc w:val="both"/>
        <w:ind w:right="40" w:firstLine="351"/>
        <w:spacing w:after="0" w:line="246" w:lineRule="auto"/>
        <w:rPr>
          <w:sz w:val="20"/>
          <w:szCs w:val="20"/>
          <w:color w:val="auto"/>
        </w:rPr>
      </w:pPr>
      <w:r>
        <w:rPr>
          <w:rFonts w:ascii="Arial" w:cs="Arial" w:eastAsia="Arial" w:hAnsi="Arial"/>
          <w:sz w:val="15"/>
          <w:szCs w:val="15"/>
          <w:color w:val="auto"/>
        </w:rPr>
        <w:t>We use third-party open source software. From time to time, companies that use third-party open source software have faced claims challenging the use of such open source software and compliance with the open source software license terms. Accordingly, we may be subject to suits by parties claiming ownership of what we believe to be open source software or claiming non-compliance with the applicable open source licensing terms. Some open source software licenses require end- users, who distribute or make available across a network software and services that include open source software, to make publicly available or to license all or part of such software (which in some circumstances could include valuable proprietary code, such as modifications or derivative works created, based upon, incorporating, or using the open source software) under the terms of the particular open source license. While we employ practices designed to monitor our compliance with the licenses of third-party open source software and protect our valuable proprietary source code, we may inadvertently use third -party open source software in a manner that exposes us to claims of non -compliance with the terms of the applicable license, including claims of intellectual property rights infringement or for breach of contract. Furthermore, there exists today an increasing number of types of open source software licenses, almost none of which have been tested in courts of law to provide clarity on their proper legal interpretation. If we were to receive a claim of non- compliance with the terms of any of these open source licenses, we may be required to publicly release certain portions of our proprietary source code. We could also be required to expend substantial time and resources to re-engineer some or all of our software. Any of the foregoing could materially adversely affect our business, financial condition, results of operations, and prospects.</w:t>
      </w:r>
    </w:p>
    <w:p>
      <w:pPr>
        <w:spacing w:after="0" w:line="209" w:lineRule="exact"/>
        <w:rPr>
          <w:sz w:val="20"/>
          <w:szCs w:val="20"/>
          <w:color w:val="auto"/>
        </w:rPr>
      </w:pPr>
    </w:p>
    <w:p>
      <w:pPr>
        <w:jc w:val="both"/>
        <w:ind w:right="40" w:firstLine="351"/>
        <w:spacing w:after="0" w:line="251" w:lineRule="auto"/>
        <w:rPr>
          <w:sz w:val="20"/>
          <w:szCs w:val="20"/>
          <w:color w:val="auto"/>
        </w:rPr>
      </w:pPr>
      <w:r>
        <w:rPr>
          <w:rFonts w:ascii="Arial" w:cs="Arial" w:eastAsia="Arial" w:hAnsi="Arial"/>
          <w:sz w:val="15"/>
          <w:szCs w:val="15"/>
          <w:color w:val="auto"/>
        </w:rPr>
        <w:t>In addition, the use of third -party open source software typically exposes us to greater risks than the use of third-party commercial software because open source licensors generally do not provide warranties or controls on the functionality or origin of the software. Use of open source software may also present additional security risks because the public availability of such software may make it easier for hackers and other third parties to determine how to compromise our platform. Any of the foregoing could materially adversely affect our business, financial condition, results of operations, and prospects and could help our competitors develop products and services that are similar to or better than ours.</w:t>
      </w:r>
    </w:p>
    <w:p>
      <w:pPr>
        <w:spacing w:after="0" w:line="193" w:lineRule="exact"/>
        <w:rPr>
          <w:sz w:val="20"/>
          <w:szCs w:val="20"/>
          <w:color w:val="auto"/>
        </w:rPr>
      </w:pPr>
    </w:p>
    <w:p>
      <w:pPr>
        <w:ind w:right="240"/>
        <w:spacing w:after="0" w:line="263" w:lineRule="auto"/>
        <w:rPr>
          <w:sz w:val="20"/>
          <w:szCs w:val="20"/>
          <w:color w:val="auto"/>
        </w:rPr>
      </w:pPr>
      <w:r>
        <w:rPr>
          <w:rFonts w:ascii="Arial" w:cs="Arial" w:eastAsia="Arial" w:hAnsi="Arial"/>
          <w:sz w:val="15"/>
          <w:szCs w:val="15"/>
          <w:i w:val="1"/>
          <w:iCs w:val="1"/>
          <w:color w:val="auto"/>
        </w:rPr>
        <w:t>We rely on third parties to provide us with a number of operational and technical services; third-party security incidents could result in the loss of our or our customers’ data, expose us to liability, harm our reputation, damage our competitiveness, and adversely impact our financial results.</w:t>
      </w:r>
    </w:p>
    <w:p>
      <w:pPr>
        <w:spacing w:after="0" w:line="179" w:lineRule="exact"/>
        <w:rPr>
          <w:sz w:val="20"/>
          <w:szCs w:val="20"/>
          <w:color w:val="auto"/>
        </w:rPr>
      </w:pPr>
    </w:p>
    <w:p>
      <w:pPr>
        <w:ind w:right="80" w:firstLine="387"/>
        <w:spacing w:after="0" w:line="247" w:lineRule="auto"/>
        <w:rPr>
          <w:sz w:val="20"/>
          <w:szCs w:val="20"/>
          <w:color w:val="auto"/>
        </w:rPr>
      </w:pPr>
      <w:r>
        <w:rPr>
          <w:rFonts w:ascii="Arial" w:cs="Arial" w:eastAsia="Arial" w:hAnsi="Arial"/>
          <w:sz w:val="15"/>
          <w:szCs w:val="15"/>
          <w:color w:val="auto"/>
        </w:rPr>
        <w:t>We rely on third parties, such as Amazon Web Services, to provide us with operational and technical services. These third parties may have access to our systems, provide hosting services, or otherwise process data about us or our customers, employees, or partners. Our ability to monitor such third parties’ security measures is limited. There have been and may continue to be significant supply chain attacks, and we cannot guarantee that our or our such third parties’ systems have not been breached or that they do not contain exploitable defects, bugs, or vulnerabilities that could result in an incident, breach, or other disruption to, our or these third parties’ systems. Any security incident involving such third parties could compromise the integrity or availability of, or result in the theft of, our and our customers’ data. In addition, our operations or the operations of our customers or partners could be negatively affected in the event of a security incident and could be subject to the loss or theft of confidential or proprietary information, including source code. Unauthorized access to data and other confidential or proprietary information may be obtained through break -ins, network breaches by unauthorized parties, employee theft or misuse, or other misconduct. If any of the foregoing were to occur or to be perceived to occur, our reputation may suffer, our</w:t>
      </w:r>
    </w:p>
    <w:p>
      <w:pPr>
        <w:spacing w:after="0" w:line="200" w:lineRule="exact"/>
        <w:rPr>
          <w:sz w:val="20"/>
          <w:szCs w:val="20"/>
          <w:color w:val="auto"/>
        </w:rPr>
      </w:pPr>
    </w:p>
    <w:p>
      <w:pPr>
        <w:spacing w:after="0" w:line="276" w:lineRule="exact"/>
        <w:rPr>
          <w:sz w:val="20"/>
          <w:szCs w:val="20"/>
          <w:color w:val="auto"/>
        </w:rPr>
      </w:pPr>
    </w:p>
    <w:p>
      <w:pPr>
        <w:jc w:val="center"/>
        <w:ind w:right="40"/>
        <w:spacing w:after="0"/>
        <w:rPr>
          <w:sz w:val="20"/>
          <w:szCs w:val="20"/>
          <w:color w:val="auto"/>
        </w:rPr>
      </w:pPr>
      <w:r>
        <w:rPr>
          <w:rFonts w:ascii="Arial" w:cs="Arial" w:eastAsia="Arial" w:hAnsi="Arial"/>
          <w:sz w:val="15"/>
          <w:szCs w:val="15"/>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20"/>
          </w:cols>
          <w:pgMar w:left="660" w:top="1230" w:right="620" w:bottom="1440" w:gutter="0" w:footer="0" w:header="0"/>
        </w:sectPr>
      </w:pPr>
    </w:p>
    <w:bookmarkStart w:id="58" w:name="page59"/>
    <w:bookmarkEnd w:id="58"/>
    <w:p>
      <w:pPr>
        <w:ind w:right="180"/>
        <w:spacing w:after="0" w:line="271" w:lineRule="auto"/>
        <w:rPr>
          <w:sz w:val="20"/>
          <w:szCs w:val="20"/>
          <w:color w:val="auto"/>
        </w:rPr>
      </w:pPr>
      <w:r>
        <w:rPr>
          <w:rFonts w:ascii="Arial" w:cs="Arial" w:eastAsia="Arial" w:hAnsi="Arial"/>
          <w:sz w:val="15"/>
          <w:szCs w:val="15"/>
          <w:color w:val="auto"/>
        </w:rPr>
        <w:t>competitive position may be diminished, customers may buy fewer of our offerings and services, we could face lawsuits, regulatory investigation, fines, and potential liability, and our financial results could be negatively impacted.</w:t>
      </w:r>
    </w:p>
    <w:p>
      <w:pPr>
        <w:spacing w:after="0" w:line="179" w:lineRule="exact"/>
        <w:rPr>
          <w:sz w:val="20"/>
          <w:szCs w:val="20"/>
          <w:color w:val="auto"/>
        </w:rPr>
      </w:pPr>
    </w:p>
    <w:p>
      <w:pPr>
        <w:ind w:right="140"/>
        <w:spacing w:after="0" w:line="279" w:lineRule="auto"/>
        <w:rPr>
          <w:sz w:val="20"/>
          <w:szCs w:val="20"/>
          <w:color w:val="auto"/>
        </w:rPr>
      </w:pPr>
      <w:r>
        <w:rPr>
          <w:rFonts w:ascii="Arial" w:cs="Arial" w:eastAsia="Arial" w:hAnsi="Arial"/>
          <w:sz w:val="15"/>
          <w:szCs w:val="15"/>
          <w:i w:val="1"/>
          <w:iCs w:val="1"/>
          <w:color w:val="auto"/>
        </w:rPr>
        <w:t>Delays in service from third-party service providers could expose us to liability, harm our reputation, damage our competitiveness, and adversely impact our financial results.</w:t>
      </w:r>
    </w:p>
    <w:p>
      <w:pPr>
        <w:spacing w:after="0" w:line="179" w:lineRule="exact"/>
        <w:rPr>
          <w:sz w:val="20"/>
          <w:szCs w:val="20"/>
          <w:color w:val="auto"/>
        </w:rPr>
      </w:pPr>
    </w:p>
    <w:p>
      <w:pPr>
        <w:ind w:right="60" w:firstLine="387"/>
        <w:spacing w:after="0" w:line="253" w:lineRule="auto"/>
        <w:rPr>
          <w:sz w:val="20"/>
          <w:szCs w:val="20"/>
          <w:color w:val="auto"/>
        </w:rPr>
      </w:pPr>
      <w:r>
        <w:rPr>
          <w:rFonts w:ascii="Arial" w:cs="Arial" w:eastAsia="Arial" w:hAnsi="Arial"/>
          <w:sz w:val="15"/>
          <w:szCs w:val="15"/>
          <w:color w:val="auto"/>
        </w:rPr>
        <w:t>From time to time, we may rely on a single or limited number of suppliers, or upon suppliers in a single country, for the provision of services and materials that we use in the operation of our business and production of our solutions. Inability of such third parties to satisfy our requirements could disrupt our operations or make it more difficult for us to implement our strategy. If any of these situations were to occur, our reputation could be harmed, we could be subject to third-party liability, including under data protection and privacy laws in certain jurisdictions, and our financial results could be negatively impacted.</w:t>
      </w:r>
    </w:p>
    <w:p>
      <w:pPr>
        <w:spacing w:after="0" w:line="192" w:lineRule="exact"/>
        <w:rPr>
          <w:sz w:val="20"/>
          <w:szCs w:val="20"/>
          <w:color w:val="auto"/>
        </w:rPr>
      </w:pPr>
    </w:p>
    <w:p>
      <w:pPr>
        <w:ind w:right="440"/>
        <w:spacing w:after="0" w:line="262" w:lineRule="auto"/>
        <w:rPr>
          <w:sz w:val="20"/>
          <w:szCs w:val="20"/>
          <w:color w:val="auto"/>
        </w:rPr>
      </w:pPr>
      <w:r>
        <w:rPr>
          <w:rFonts w:ascii="Arial" w:cs="Arial" w:eastAsia="Arial" w:hAnsi="Arial"/>
          <w:sz w:val="15"/>
          <w:szCs w:val="15"/>
          <w:i w:val="1"/>
          <w:iCs w:val="1"/>
          <w:color w:val="auto"/>
        </w:rPr>
        <w:t>We are investing in resources to update and improve our information technology systems to digitize Autodesk and support our customers. Should our investments not succeed, or if delays or other issues with new or existing information technology systems disrupt our operations, our business could be harmed.</w:t>
      </w:r>
    </w:p>
    <w:p>
      <w:pPr>
        <w:spacing w:after="0" w:line="191"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We rely on our network and data center infrastructure, technology systems, and websites for our development, marketing, operational, support, sales, accounting, and financial reporting activities. We continually invest resources to update and improve these systems to meet the evolving requirements of our business and customers. In particular, our transition to cloud- based products and a subscription- only business model involves considerable investment in the development of technologies, as well as back -office systems for technical, financial, compliance, and sales resources. Such improvements are often complex, costly, and time consuming. In addition, such improvements can be challenging to integrate with our existing technology systems, or may uncover problems with those systems. Unsuccessful implementation of hardware or software updates and improvements could result in disruption in our business operations, loss of customers, loss of revenue, errors in our accounting and financial reporting, or damage to our reputation, all of which could harm our business.</w:t>
      </w:r>
    </w:p>
    <w:p>
      <w:pPr>
        <w:spacing w:after="0" w:line="194" w:lineRule="exact"/>
        <w:rPr>
          <w:sz w:val="20"/>
          <w:szCs w:val="20"/>
          <w:color w:val="auto"/>
        </w:rPr>
      </w:pPr>
    </w:p>
    <w:p>
      <w:pPr>
        <w:ind w:right="20"/>
        <w:spacing w:after="0" w:line="279" w:lineRule="auto"/>
        <w:rPr>
          <w:sz w:val="20"/>
          <w:szCs w:val="20"/>
          <w:color w:val="auto"/>
        </w:rPr>
      </w:pPr>
      <w:r>
        <w:rPr>
          <w:rFonts w:ascii="Arial" w:cs="Arial" w:eastAsia="Arial" w:hAnsi="Arial"/>
          <w:sz w:val="15"/>
          <w:szCs w:val="15"/>
          <w:i w:val="1"/>
          <w:iCs w:val="1"/>
          <w:color w:val="auto"/>
        </w:rPr>
        <w:t>Our software solutions are highly complex and may contain undetected errors, defects, or vulnerabilities, and are subject to service disruptions, degradations, outages or other performance problems, each of which could harm our business and financial performance.</w:t>
      </w:r>
    </w:p>
    <w:p>
      <w:pPr>
        <w:spacing w:after="0" w:line="179" w:lineRule="exact"/>
        <w:rPr>
          <w:sz w:val="20"/>
          <w:szCs w:val="20"/>
          <w:color w:val="auto"/>
        </w:rPr>
      </w:pPr>
    </w:p>
    <w:p>
      <w:pPr>
        <w:jc w:val="both"/>
        <w:ind w:right="60" w:firstLine="351"/>
        <w:spacing w:after="0" w:line="257" w:lineRule="auto"/>
        <w:rPr>
          <w:sz w:val="20"/>
          <w:szCs w:val="20"/>
          <w:color w:val="auto"/>
        </w:rPr>
      </w:pPr>
      <w:r>
        <w:rPr>
          <w:rFonts w:ascii="Arial" w:cs="Arial" w:eastAsia="Arial" w:hAnsi="Arial"/>
          <w:sz w:val="15"/>
          <w:szCs w:val="15"/>
          <w:color w:val="auto"/>
        </w:rPr>
        <w:t>The software solutions that we offer are complex and, despite extensive testing and quality control, may contain errors, defects, or vulnerabilities. Some errors, defects, or vulnerabilities in our software solutions may only be discovered after they have been released. In addition, we have experienced, and may in the future experience, service disruptions, degradations, outages, and other performance problems in connection with our software solutions.</w:t>
      </w:r>
    </w:p>
    <w:p>
      <w:pPr>
        <w:spacing w:after="0" w:line="196" w:lineRule="exact"/>
        <w:rPr>
          <w:sz w:val="20"/>
          <w:szCs w:val="20"/>
          <w:color w:val="auto"/>
        </w:rPr>
      </w:pPr>
    </w:p>
    <w:p>
      <w:pPr>
        <w:ind w:right="360" w:firstLine="351"/>
        <w:spacing w:after="0" w:line="257" w:lineRule="auto"/>
        <w:rPr>
          <w:sz w:val="20"/>
          <w:szCs w:val="20"/>
          <w:color w:val="auto"/>
        </w:rPr>
      </w:pPr>
      <w:r>
        <w:rPr>
          <w:rFonts w:ascii="Arial" w:cs="Arial" w:eastAsia="Arial" w:hAnsi="Arial"/>
          <w:sz w:val="15"/>
          <w:szCs w:val="15"/>
          <w:color w:val="auto"/>
        </w:rPr>
        <w:t>Any errors, defects, vulnerabilities, service disruptions, degradations, outages or other performance problems could result in the need for corrective releases to our software solutions, damage to our reputation, damage to our customers’ businesses, loss of revenue, an increase in subscription cancellations, or lack of market acceptance of our offerings, any of which would likely harm our business and financial performance</w:t>
      </w:r>
    </w:p>
    <w:p>
      <w:pPr>
        <w:spacing w:after="0" w:line="190" w:lineRule="exact"/>
        <w:rPr>
          <w:sz w:val="20"/>
          <w:szCs w:val="20"/>
          <w:color w:val="auto"/>
        </w:rPr>
      </w:pPr>
    </w:p>
    <w:p>
      <w:pPr>
        <w:ind w:right="560"/>
        <w:spacing w:after="0" w:line="262" w:lineRule="auto"/>
        <w:rPr>
          <w:sz w:val="20"/>
          <w:szCs w:val="20"/>
          <w:color w:val="auto"/>
        </w:rPr>
      </w:pPr>
      <w:r>
        <w:rPr>
          <w:rFonts w:ascii="Arial" w:cs="Arial" w:eastAsia="Arial" w:hAnsi="Arial"/>
          <w:sz w:val="15"/>
          <w:szCs w:val="15"/>
          <w:i w:val="1"/>
          <w:iCs w:val="1"/>
          <w:color w:val="auto"/>
        </w:rPr>
        <w:t>If we do not maintain good relationships with the members of our distribution channel, or if our distribution channel suffers financial losses, becomes financially unstable or insolvent, or is not provided the right mix of incentives to sell our subscriptions, our ability to generate revenue will be adversely affected.</w:t>
      </w:r>
    </w:p>
    <w:p>
      <w:pPr>
        <w:spacing w:after="0" w:line="191" w:lineRule="exact"/>
        <w:rPr>
          <w:sz w:val="20"/>
          <w:szCs w:val="20"/>
          <w:color w:val="auto"/>
        </w:rPr>
      </w:pPr>
    </w:p>
    <w:p>
      <w:pPr>
        <w:ind w:right="60" w:firstLine="387"/>
        <w:spacing w:after="0" w:line="247" w:lineRule="auto"/>
        <w:rPr>
          <w:sz w:val="20"/>
          <w:szCs w:val="20"/>
          <w:color w:val="auto"/>
        </w:rPr>
      </w:pPr>
      <w:r>
        <w:rPr>
          <w:rFonts w:ascii="Arial" w:cs="Arial" w:eastAsia="Arial" w:hAnsi="Arial"/>
          <w:sz w:val="15"/>
          <w:szCs w:val="15"/>
          <w:color w:val="auto"/>
        </w:rPr>
        <w:t>We sell our software products both directly to end users and through a network of distributors and resellers. For the three months ended April 30, 2023 and 2022, approximately 65% and 66%, respectively, of our revenue was derived from indirect channel sales through distributors and resellers, and we expect that the majority of our revenue will continue to be derived from indirect channel sales in the near future. Our ability to effectively distribute our solutions depends in part upon the financial and business condition of our distributor and reseller network. Computer software distributors and resellers typically are not highly capitalized, and have previously experienced difficulties during times of economic contraction as well as during the past several years. We have processes to ensure that we assess the creditworthiness of distributors and resellers prior to our sales to them. In the past we have taken steps to support them, and may take additional steps in the future, such as extending credit terms and adjusting our incentives. These steps, if taken, could harm our financial results. If our distributors and resellers were to become insolvent, they would not be able to maintain their business and sales or provide customer support services, which would negatively impact our business and revenue.</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59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59" w:name="page60"/>
    <w:bookmarkEnd w:id="59"/>
    <w:p>
      <w:pPr>
        <w:ind w:firstLine="387"/>
        <w:spacing w:after="0" w:line="246" w:lineRule="auto"/>
        <w:rPr>
          <w:sz w:val="20"/>
          <w:szCs w:val="20"/>
          <w:color w:val="auto"/>
        </w:rPr>
      </w:pPr>
      <w:r>
        <w:rPr>
          <w:rFonts w:ascii="Arial" w:cs="Arial" w:eastAsia="Arial" w:hAnsi="Arial"/>
          <w:sz w:val="15"/>
          <w:szCs w:val="15"/>
          <w:color w:val="auto"/>
        </w:rPr>
        <w:t>We rely significantly upon major distributors and resellers in both the U.S. and international regions. Of our distributors, Tech Data accounted for 40% and 36% of our total net revenue for the three months ended April 30, 2023 and 2022, respectively, and Ingram Micro accounted for 8% and 9% of our total net revenue for the three months ended April 30, 2023 and 2022, respectively. During October 2022, we entered into a transition agreements with each of Tech Data and Ingram Micro to provide transition distribution activities for a one- to-two-year period, with potential extensions. In connection with such transition agreements, we intend to increase our selling efforts with value-added resellers and agents. During the transition period, we believe the resellers and end users who currently purchase our products through Tech Data and Ingram Micro will be able to continue to do so, and following the transition period, we believe such resellers and end users will be able to continue to purchase our products from our value -added resellers, our agents or from one of our many other distributors or directly from Autodesk, in each case under substantially the same terms and without substantial disruption to our revenue. However, if during the transition period, Tech Data or Ingram Micro were to experience a significant business disruption or if our relationship with either were to significantly deteriorate, it is possible that our ability to sell to end users would, at least temporarily, be negatively impacted. Also, if any of our assumptions about our end users, value added resellers, distributors, or agents or our direct selling capabilities proves incorrect, these changes could harm our business. This could, in turn, negatively impact our financial results.</w:t>
      </w:r>
    </w:p>
    <w:p>
      <w:pPr>
        <w:spacing w:after="0" w:line="210" w:lineRule="exact"/>
        <w:rPr>
          <w:sz w:val="20"/>
          <w:szCs w:val="20"/>
          <w:color w:val="auto"/>
        </w:rPr>
      </w:pPr>
    </w:p>
    <w:p>
      <w:pPr>
        <w:ind w:right="100" w:firstLine="351"/>
        <w:spacing w:after="0" w:line="248" w:lineRule="auto"/>
        <w:rPr>
          <w:sz w:val="20"/>
          <w:szCs w:val="20"/>
          <w:color w:val="auto"/>
        </w:rPr>
      </w:pPr>
      <w:r>
        <w:rPr>
          <w:rFonts w:ascii="Arial" w:cs="Arial" w:eastAsia="Arial" w:hAnsi="Arial"/>
          <w:sz w:val="15"/>
          <w:szCs w:val="15"/>
          <w:color w:val="auto"/>
        </w:rPr>
        <w:t>Over time, we have modified and especially during the transition process noted above, we will continue to modify aspects of our relationship with our distributors and resellers, such as their incentive programs, pricing to them, and our distribution model to motivate and reward them for aligning their businesses with our strategy and business objectives. Changes in these relationships and underlying programs could negatively impact their business and harm our business. Further, our distributors and resellers may lose confidence in our business, move to competitive products, or not have the skills or ability to support customers. The loss of or a significant reduction in business with those distributors or resellers could harm our business. In particular, if one or more of such distributors or resellers were unable to meet their obligations with respect to accounts payable to us, we could be forced to write off such accounts and may be required to delay the recognition of revenue on future sales to these customers. These events could have a material adverse effect on our financial results.</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We rely on software from third parties, and a failure to properly manage our use of third-party software could result in increased costs or loss of revenue.</w:t>
      </w:r>
    </w:p>
    <w:p>
      <w:pPr>
        <w:spacing w:after="0" w:line="232"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Many of our products are designed to include software licensed from third parties. Such third-party software includes software licensed from commercial suppliers and under public open source licenses. While we have internal processes to manage our use of such third-party software, if such processes are inadequate, we may be subject to copyright infringement or other third-party claims. If we are non-compliant with a license for commercial software, we may be required to pay penalties or undergo costly audits pursuant to the license agreement. In the case of open-source software licensed under certain “copyleft” licenses, the license itself, or a court-imposed remedy for non-compliant use of the open source software, may require that proprietary portions of our own software be publicly disclosed or licensed. This could result in a loss of intellectual property rights, increased costs, re-engineering of our software, damage to our reputation, or loss of revenue.</w:t>
      </w:r>
    </w:p>
    <w:p>
      <w:pPr>
        <w:spacing w:after="0" w:line="200" w:lineRule="exact"/>
        <w:rPr>
          <w:sz w:val="20"/>
          <w:szCs w:val="20"/>
          <w:color w:val="auto"/>
        </w:rPr>
      </w:pPr>
    </w:p>
    <w:p>
      <w:pPr>
        <w:ind w:right="40" w:firstLine="351"/>
        <w:spacing w:after="0" w:line="253" w:lineRule="auto"/>
        <w:rPr>
          <w:sz w:val="20"/>
          <w:szCs w:val="20"/>
          <w:color w:val="auto"/>
        </w:rPr>
      </w:pPr>
      <w:r>
        <w:rPr>
          <w:rFonts w:ascii="Arial" w:cs="Arial" w:eastAsia="Arial" w:hAnsi="Arial"/>
          <w:sz w:val="15"/>
          <w:szCs w:val="15"/>
          <w:color w:val="auto"/>
        </w:rPr>
        <w:t>In addition to risks related to license requirements, usage of open source software can lead to greater risks than use of third -party commercial software, as open source licensors generally do not provide warranties, support, indemnities, assurances of title or controls on origin of the software, or other contractual protections regarding infringement claims or the quality of the code. Likewise, some open source projects have known security and other vulnerabilities and architectural instabilities, or are otherwise subject to security attacks due to their wide availability, and are provided on an “as-is” basis.</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Our business could be adversely affected if we are unable to attract and retain key personnel.</w:t>
      </w:r>
    </w:p>
    <w:p>
      <w:pPr>
        <w:spacing w:after="0" w:line="232" w:lineRule="exact"/>
        <w:rPr>
          <w:sz w:val="20"/>
          <w:szCs w:val="20"/>
          <w:color w:val="auto"/>
        </w:rPr>
      </w:pPr>
    </w:p>
    <w:p>
      <w:pPr>
        <w:ind w:right="20" w:firstLine="351"/>
        <w:spacing w:after="0" w:line="251" w:lineRule="auto"/>
        <w:rPr>
          <w:sz w:val="20"/>
          <w:szCs w:val="20"/>
          <w:color w:val="auto"/>
        </w:rPr>
      </w:pPr>
      <w:r>
        <w:rPr>
          <w:rFonts w:ascii="Arial" w:cs="Arial" w:eastAsia="Arial" w:hAnsi="Arial"/>
          <w:sz w:val="15"/>
          <w:szCs w:val="15"/>
          <w:color w:val="auto"/>
        </w:rPr>
        <w:t>Our success and ability to invest and grow depend largely on our ability to attract and retain highly skilled technical, professional, managerial, sales, and marketing personnel. Historically, competition for these key personnel has been intense. The loss of services of any of our key personnel, including key personnel joining our company through acquisitions, inability to retain and attract qualified employees in the future, or delays in hiring required personnel, particularly engineering and sales personnel, could make it difficult to meet key objectives, such as timely and effective product introductions and financial goals.</w:t>
      </w:r>
    </w:p>
    <w:p>
      <w:pPr>
        <w:spacing w:after="0" w:line="193" w:lineRule="exact"/>
        <w:rPr>
          <w:sz w:val="20"/>
          <w:szCs w:val="20"/>
          <w:color w:val="auto"/>
        </w:rPr>
      </w:pPr>
    </w:p>
    <w:p>
      <w:pPr>
        <w:ind w:right="140"/>
        <w:spacing w:after="0" w:line="279" w:lineRule="auto"/>
        <w:rPr>
          <w:sz w:val="20"/>
          <w:szCs w:val="20"/>
          <w:color w:val="auto"/>
        </w:rPr>
      </w:pPr>
      <w:r>
        <w:rPr>
          <w:rFonts w:ascii="Arial" w:cs="Arial" w:eastAsia="Arial" w:hAnsi="Arial"/>
          <w:sz w:val="15"/>
          <w:szCs w:val="15"/>
          <w:i w:val="1"/>
          <w:iCs w:val="1"/>
          <w:color w:val="auto"/>
        </w:rPr>
        <w:t>We rely on third-party technologies and if we are unable to use or integrate these technologies, our solutions and service development may be delayed and our financial results negatively impacted.</w:t>
      </w:r>
    </w:p>
    <w:p>
      <w:pPr>
        <w:spacing w:after="0" w:line="179" w:lineRule="exact"/>
        <w:rPr>
          <w:sz w:val="20"/>
          <w:szCs w:val="20"/>
          <w:color w:val="auto"/>
        </w:rPr>
      </w:pPr>
    </w:p>
    <w:p>
      <w:pPr>
        <w:ind w:right="260" w:firstLine="351"/>
        <w:spacing w:after="0" w:line="271" w:lineRule="auto"/>
        <w:rPr>
          <w:sz w:val="20"/>
          <w:szCs w:val="20"/>
          <w:color w:val="auto"/>
        </w:rPr>
      </w:pPr>
      <w:r>
        <w:rPr>
          <w:rFonts w:ascii="Arial" w:cs="Arial" w:eastAsia="Arial" w:hAnsi="Arial"/>
          <w:sz w:val="15"/>
          <w:szCs w:val="15"/>
          <w:color w:val="auto"/>
        </w:rPr>
        <w:t>We rely on certain software that we license from third parties, including software that is integrated with internally developed software and used in our offerings to perform key functions. These third-party software licenses may not continue to</w:t>
      </w: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60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60" w:name="page61"/>
    <w:bookmarkEnd w:id="60"/>
    <w:p>
      <w:pPr>
        <w:ind w:right="100"/>
        <w:spacing w:after="0" w:line="257" w:lineRule="auto"/>
        <w:rPr>
          <w:sz w:val="20"/>
          <w:szCs w:val="20"/>
          <w:color w:val="auto"/>
        </w:rPr>
      </w:pPr>
      <w:r>
        <w:rPr>
          <w:rFonts w:ascii="Arial" w:cs="Arial" w:eastAsia="Arial" w:hAnsi="Arial"/>
          <w:sz w:val="15"/>
          <w:szCs w:val="15"/>
          <w:color w:val="auto"/>
        </w:rPr>
        <w:t>be available on commercially reasonable terms, and the software may not be appropriately supported, maintained, or enhanced by the licensors. The loss of licenses to, or inability to support, maintain, and enhance any such software could result in increased costs or delays until equivalent software can be developed, identified, licensed, and integrated, which would likely harm our business.</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Disruptions in licensing relationships and with third-party developers could adversely impact our business.</w:t>
      </w:r>
    </w:p>
    <w:p>
      <w:pPr>
        <w:spacing w:after="0" w:line="232" w:lineRule="exact"/>
        <w:rPr>
          <w:sz w:val="20"/>
          <w:szCs w:val="20"/>
          <w:color w:val="auto"/>
        </w:rPr>
      </w:pPr>
    </w:p>
    <w:p>
      <w:pPr>
        <w:ind w:right="60" w:firstLine="351"/>
        <w:spacing w:after="0" w:line="249" w:lineRule="auto"/>
        <w:rPr>
          <w:sz w:val="20"/>
          <w:szCs w:val="20"/>
          <w:color w:val="auto"/>
        </w:rPr>
      </w:pPr>
      <w:r>
        <w:rPr>
          <w:rFonts w:ascii="Arial" w:cs="Arial" w:eastAsia="Arial" w:hAnsi="Arial"/>
          <w:sz w:val="15"/>
          <w:szCs w:val="15"/>
          <w:color w:val="auto"/>
        </w:rPr>
        <w:t>We license certain key technologies from third parties. Licenses may be restricted in the term or the use of such technology in ways that negatively affect our business. Similarly, we may not be able to obtain or renew license agreements for key technology on favorable terms, if at all, and any failure to do so could harm our business. Our business strategy has historically depended in part on our relationships with third -party developers who provide products that expand the functionality of our design software. Some developers may elect to support other products or may experience disruption in product development and delivery cycles or financial pressure during periods of economic downturn. In particular markets, such disruptions have in the past, and would likely in the future, negatively impact these third-party developers and end users, which could harm our business.</w:t>
      </w:r>
    </w:p>
    <w:p>
      <w:pPr>
        <w:spacing w:after="0" w:line="203" w:lineRule="exact"/>
        <w:rPr>
          <w:sz w:val="20"/>
          <w:szCs w:val="20"/>
          <w:color w:val="auto"/>
        </w:rPr>
      </w:pPr>
    </w:p>
    <w:p>
      <w:pPr>
        <w:ind w:right="120" w:firstLine="351"/>
        <w:spacing w:after="0" w:line="257" w:lineRule="auto"/>
        <w:rPr>
          <w:sz w:val="20"/>
          <w:szCs w:val="20"/>
          <w:color w:val="auto"/>
        </w:rPr>
      </w:pPr>
      <w:r>
        <w:rPr>
          <w:rFonts w:ascii="Arial" w:cs="Arial" w:eastAsia="Arial" w:hAnsi="Arial"/>
          <w:sz w:val="15"/>
          <w:szCs w:val="15"/>
          <w:color w:val="auto"/>
        </w:rPr>
        <w:t>Technology created by outsourced product development, whether outsourced to third parties or developed externally and transferred to us through business or technology acquisitions, involves additional risks such as effective integration into existing products, adequate transfer of technology know-how, and ownership and protection of transferred intellectual property.</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Risks Relating to Laws and Regulations</w:t>
      </w:r>
    </w:p>
    <w:p>
      <w:pPr>
        <w:spacing w:after="0" w:line="226" w:lineRule="exact"/>
        <w:rPr>
          <w:sz w:val="20"/>
          <w:szCs w:val="20"/>
          <w:color w:val="auto"/>
        </w:rPr>
      </w:pPr>
    </w:p>
    <w:p>
      <w:pPr>
        <w:spacing w:after="0" w:line="279" w:lineRule="auto"/>
        <w:rPr>
          <w:sz w:val="20"/>
          <w:szCs w:val="20"/>
          <w:color w:val="auto"/>
        </w:rPr>
      </w:pPr>
      <w:r>
        <w:rPr>
          <w:rFonts w:ascii="Arial" w:cs="Arial" w:eastAsia="Arial" w:hAnsi="Arial"/>
          <w:sz w:val="15"/>
          <w:szCs w:val="15"/>
          <w:i w:val="1"/>
          <w:iCs w:val="1"/>
          <w:color w:val="auto"/>
        </w:rPr>
        <w:t>Increasing regulatory focus on privacy, data protection, and information security issues and new and expanding laws may impact our business and expose us to increased liability.</w:t>
      </w:r>
    </w:p>
    <w:p>
      <w:pPr>
        <w:spacing w:after="0" w:line="179" w:lineRule="exact"/>
        <w:rPr>
          <w:sz w:val="20"/>
          <w:szCs w:val="20"/>
          <w:color w:val="auto"/>
        </w:rPr>
      </w:pPr>
    </w:p>
    <w:p>
      <w:pPr>
        <w:ind w:right="20" w:firstLine="351"/>
        <w:spacing w:after="0" w:line="230" w:lineRule="auto"/>
        <w:rPr>
          <w:sz w:val="20"/>
          <w:szCs w:val="20"/>
          <w:color w:val="auto"/>
        </w:rPr>
      </w:pPr>
      <w:r>
        <w:rPr>
          <w:rFonts w:ascii="Arial" w:cs="Arial" w:eastAsia="Arial" w:hAnsi="Arial"/>
          <w:sz w:val="15"/>
          <w:szCs w:val="15"/>
          <w:color w:val="auto"/>
        </w:rPr>
        <w:t>Our strategy to digitize Autodesk involves increasing our use of cloud- and web-based technologies and applications to leverage customer data to improve our offerings for the benefit of our customers. To accomplish this strategy, we must collect and otherwise process customer data, which may include personal data and personal information of users from different jurisdictions globally. We also collect and otherwise process personal data and personal information of our employees and contractors. As a result, federal, state, and global laws relating to privacy, data protection, and information security apply to Autodesk’s personal data and personal information processing activities. The scope of these laws and regulations is rapidly evolving, subject to differing interpretations, may be inconsistent among jurisdictions, or conflict with other rules and is likely to remain uncertain for the foreseeable future. We also expect that there will continue to be new laws, regulations, and industry standards concerning privacy, data protection, and information security proposed and enacted in various jurisdictions. Globally, laws such as the General Data Protection Regulation (EU) 2016/679 (“GDPR”) in the European Union (“EU”) and the Personal Information Protection Law (“PIPL”) in China have been enacted. In addition, new and emerging state laws in the United States governing privacy, data protection, and information security, such as the California Consumer Privacy Act (“CCPA”), the California Privacy Rights Act (“CPRA”), the Virginia Consumer Data Protection Act (“VCDPA”), the Colorado Privacy Act (“CPA”), the Utah Consumer Privacy Act (“UCPA”), Connecticut’s Act Concerning Personal Data Privacy and Online Monitoring (“CTDPA”), Iowa’s Act Relating to Consumer Data Protection (“ICDPA”), the Indiana Consumer Data Protection Act (“InCDPA”), and the Tennessee Information Privacy Act (“TIPA”) have been enacted. These laws and regulations, as well as industry self-regulatory codes, create new compliance obligations and substantially expand the scope of potential liability and provide greater penalties for non-compliance. For example, the GDPR provides for penalties of up to €20 million or 4% of a company’s annual global revenue, whichever is greater, the PIPL provides for penalties of up to 50 million renminbi or 5% of a company's annual revenue and disgorgement of all illegal gains, whichever is greater, and the CCPA provides for penalties of up to $7,500 per violation. These laws, regulations and codes may also impact our innovation and business drivers in developing new and emerging technologies (e.g., artificial intelligence and machine learning). These requirements, among others, may impact demand for our offerings and force us to bear the burden of expanded obligations in our contracts.</w:t>
      </w:r>
    </w:p>
    <w:p>
      <w:pPr>
        <w:spacing w:after="0" w:line="198" w:lineRule="exact"/>
        <w:rPr>
          <w:sz w:val="20"/>
          <w:szCs w:val="20"/>
          <w:color w:val="auto"/>
        </w:rPr>
      </w:pPr>
    </w:p>
    <w:p>
      <w:pPr>
        <w:ind w:right="120" w:firstLine="351"/>
        <w:spacing w:after="0" w:line="259" w:lineRule="auto"/>
        <w:rPr>
          <w:sz w:val="20"/>
          <w:szCs w:val="20"/>
          <w:color w:val="auto"/>
        </w:rPr>
      </w:pPr>
      <w:r>
        <w:rPr>
          <w:rFonts w:ascii="Arial" w:cs="Arial" w:eastAsia="Arial" w:hAnsi="Arial"/>
          <w:sz w:val="15"/>
          <w:szCs w:val="15"/>
          <w:color w:val="auto"/>
        </w:rPr>
        <w:t>In addition, there is continued instability of international personal data transfer legal mechanisms that are complex, uncertain, and subject to active litigation and enforcement actions in a number of jurisdictions around the world. For example, on June 4, 2021, the European Commission published a new set of modular standard contractual clause (“SCCs”), providing for an 18-month implementation period, which became effective on June 29, 2021, and imposes on companies obligations relating to personal data transfers, including the obligation to conduct a transfer impact assessment and, depending on a party’s role in the transfer, to implement additional security measures and to update internal privacy practices. We may, in addition to other impacts, be required to expend significant time and resources to update our contractual arrangements and to comply with new obligations, and we face exposure to regulatory actions, substantial fines and injunctions in connection with transfers of personal data from the EU.</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61" w:name="page62"/>
    <w:bookmarkEnd w:id="61"/>
    <w:p>
      <w:pPr>
        <w:ind w:right="60" w:firstLine="351"/>
        <w:spacing w:after="0" w:line="232" w:lineRule="auto"/>
        <w:rPr>
          <w:sz w:val="20"/>
          <w:szCs w:val="20"/>
          <w:color w:val="auto"/>
        </w:rPr>
      </w:pPr>
      <w:r>
        <w:rPr>
          <w:rFonts w:ascii="Arial" w:cs="Arial" w:eastAsia="Arial" w:hAnsi="Arial"/>
          <w:sz w:val="15"/>
          <w:szCs w:val="15"/>
          <w:color w:val="auto"/>
        </w:rPr>
        <w:t>In addition, the United Kingdom’s (“UK”) exit from the EU, and ongoing developments in the UK, have created uncertainty with regard to data protection regulation in the UK. Data processing in the UK is now governed by the UK General Data Protection Regulation and supplemented by other domestic data protection laws, such as the UK Data Protection Act 2018, which authorizes fines of up to £17.5 million or 4% of annual global revenue, whichever is higher. We are also exposed to potentially divergent enforcement actions for certain violations. Furthermore, the new SCCs apply only to the transfer of personal data outside the EU and not the UK. Although the European Commission adopted an adequacy decision for the UK on June 28, 2021, allowing the continued flow of personal data from the EU to the UK, this decision will be regularly reviewed going forward and may be revoked if the UK diverges from its current adequate data protection laws following its exit from the EU. On February 2, 2022, the UK’s Information Commissioner’s Office issued new standard contractual clauses to support personal data transfers out of the UK (“UK SCCs”), which became effective March 21, 2022. We may, in addition to other impacts, experience additional costs associated with increased compliance burdens and be required to engage in new contract negotiations with third parties that aid in processing personal data on our behalf or localize certain personal data.</w:t>
      </w:r>
    </w:p>
    <w:p>
      <w:pPr>
        <w:spacing w:after="0" w:line="195" w:lineRule="exact"/>
        <w:rPr>
          <w:sz w:val="20"/>
          <w:szCs w:val="20"/>
          <w:color w:val="auto"/>
        </w:rPr>
      </w:pPr>
    </w:p>
    <w:p>
      <w:pPr>
        <w:jc w:val="both"/>
        <w:ind w:right="160" w:firstLine="351"/>
        <w:spacing w:after="0" w:line="237" w:lineRule="auto"/>
        <w:rPr>
          <w:sz w:val="20"/>
          <w:szCs w:val="20"/>
          <w:color w:val="auto"/>
        </w:rPr>
      </w:pPr>
      <w:r>
        <w:rPr>
          <w:rFonts w:ascii="Arial" w:cs="Arial" w:eastAsia="Arial" w:hAnsi="Arial"/>
          <w:sz w:val="15"/>
          <w:szCs w:val="15"/>
          <w:color w:val="auto"/>
        </w:rPr>
        <w:t>Further, several European data protection authorities recently indicated that the use of Google Analytics by European website operators involves the unlawful transfer of personal data to the United States. As the enforcement landscape further develops, and depending on the impacts of these rulings and other developments with respect to cross- border data transfer, we could suffer additional costs, complaints and/or regulatory investigations or fines, have to stop using certain tools and vendors, and make other operational changes.</w:t>
      </w:r>
    </w:p>
    <w:p>
      <w:pPr>
        <w:spacing w:after="0" w:line="197" w:lineRule="exact"/>
        <w:rPr>
          <w:sz w:val="20"/>
          <w:szCs w:val="20"/>
          <w:color w:val="auto"/>
        </w:rPr>
      </w:pPr>
    </w:p>
    <w:p>
      <w:pPr>
        <w:ind w:right="140" w:firstLine="351"/>
        <w:spacing w:after="0" w:line="234" w:lineRule="auto"/>
        <w:rPr>
          <w:sz w:val="20"/>
          <w:szCs w:val="20"/>
          <w:color w:val="auto"/>
        </w:rPr>
      </w:pPr>
      <w:r>
        <w:rPr>
          <w:rFonts w:ascii="Arial" w:cs="Arial" w:eastAsia="Arial" w:hAnsi="Arial"/>
          <w:sz w:val="15"/>
          <w:szCs w:val="15"/>
          <w:color w:val="auto"/>
        </w:rPr>
        <w:t>Several other countries, including China, Australia, New Zealand, Brazil, and Japan, have also established specific legal requirements for cross -border data transfers. There is also an increasing trend towards data localization policies. For example, in 2021, China introduced localization requirements for certain data. There are also other countries, such as India, that are considering data localization requirements. If this trend continues, and countries implement more restrictive regulations for cross-border personal data transfers (or do not permit personal data to leave the country of origin), it could affect the manner in which we provide our services, the geographical location or segregation of our relevant systems and operations, and our business, financial condition, and results of operations in those jurisdictions could be impacted.</w:t>
      </w:r>
    </w:p>
    <w:p>
      <w:pPr>
        <w:spacing w:after="0" w:line="198" w:lineRule="exact"/>
        <w:rPr>
          <w:sz w:val="20"/>
          <w:szCs w:val="20"/>
          <w:color w:val="auto"/>
        </w:rPr>
      </w:pPr>
    </w:p>
    <w:p>
      <w:pPr>
        <w:ind w:right="80" w:firstLine="351"/>
        <w:spacing w:after="0" w:line="241" w:lineRule="auto"/>
        <w:rPr>
          <w:sz w:val="20"/>
          <w:szCs w:val="20"/>
          <w:color w:val="auto"/>
        </w:rPr>
      </w:pPr>
      <w:r>
        <w:rPr>
          <w:rFonts w:ascii="Arial" w:cs="Arial" w:eastAsia="Arial" w:hAnsi="Arial"/>
          <w:sz w:val="15"/>
          <w:szCs w:val="15"/>
          <w:color w:val="auto"/>
        </w:rPr>
        <w:t>In addition, the new state laws – the CPRA and the VCDPA – that became effective on January 1, 2023, the CPA and CTDPA that become effective on July 1, 2023, the UCPA that becomes effective on December 31, 2023, the TIPA that becomes effective on July 1, 2024, the ICDPA that becomes effective on January 1, 2025, and the InCDPA that becomes effective on January 1, 2026, introduce additional obligations such as data minimization and storage</w:t>
      </w:r>
    </w:p>
    <w:p>
      <w:pPr>
        <w:ind w:right="120"/>
        <w:spacing w:after="0" w:line="233" w:lineRule="auto"/>
        <w:rPr>
          <w:sz w:val="20"/>
          <w:szCs w:val="20"/>
          <w:color w:val="auto"/>
        </w:rPr>
      </w:pPr>
      <w:r>
        <w:rPr>
          <w:rFonts w:ascii="Arial" w:cs="Arial" w:eastAsia="Arial" w:hAnsi="Arial"/>
          <w:sz w:val="15"/>
          <w:szCs w:val="15"/>
          <w:color w:val="auto"/>
        </w:rPr>
        <w:t>limitations, granting additional rights to consumers such as correction of personal information and additional opt-out rights. The CPRA also created a new agency to implement and enforce the law. These new state laws have required us to modify our data processing practices and policies and may cause us to incur substantial costs and expenses in order to comply. Laws in all 50 states, and some of our contracts, require us to provide notice under certain circumstances to customers whose personal information has been disclosed as a result of a data breach. Also, if third parties we work with, such as suppliers, violate applicable data protection laws or regulations, such violations may also put our users’ information at risk and could materially adversely affect our business, financial condition, results of operations, and prospects. Additionally, in addition to government activity, privacy advocacy groups and technology and other industries are considering various new, additional or different self-regulatory standards that may place additional burdens on us. Evolving legislation and the interplay of federal and state laws may be subject to varying interpretations by courts and government agencies, creating complex compliance issues and have and may cause variation in requirements, increase restrictions and potential legal risk and impact strategies and the availability of previously useful data, potentially exposing us to additional expense, adverse publicity, and liability.</w:t>
      </w:r>
    </w:p>
    <w:p>
      <w:pPr>
        <w:spacing w:after="0" w:line="196" w:lineRule="exact"/>
        <w:rPr>
          <w:sz w:val="20"/>
          <w:szCs w:val="20"/>
          <w:color w:val="auto"/>
        </w:rPr>
      </w:pPr>
    </w:p>
    <w:p>
      <w:pPr>
        <w:ind w:firstLine="351"/>
        <w:spacing w:after="0" w:line="248" w:lineRule="auto"/>
        <w:rPr>
          <w:sz w:val="20"/>
          <w:szCs w:val="20"/>
          <w:color w:val="auto"/>
        </w:rPr>
      </w:pPr>
      <w:r>
        <w:rPr>
          <w:rFonts w:ascii="Arial" w:cs="Arial" w:eastAsia="Arial" w:hAnsi="Arial"/>
          <w:sz w:val="15"/>
          <w:szCs w:val="15"/>
          <w:color w:val="auto"/>
        </w:rPr>
        <w:t>In the EU and the UK, regulators are increasingly focusing on compliance with requirements in the online behavioral advertising ecosystem, and current national laws that implement the ePrivacy Directive are highly likely to be replaced by an EU regulation known as the ePrivacy Regulation, which is expected to significantly increase fines for non-compliance. While the text of the ePrivacy Regulation is under development, recent European case law and regulators’ recent guidance are driving increased attention to cookies and tracking technologies. This could lead to substantial costs, require significant system changes, limit the effectiveness of our marketing activities, divert the attention of our technology personnel, adversely affect our margins, increase costs, and subject us to additional liabilities. Regulation of cookies and similar technologies, and any decline of cookies or similar online tracking technologies as a means to identify and potentially target users, may lead to broader restrictions and impairments on our marketing and personalization activities and may negatively impact our efforts to understand our customers.</w:t>
      </w:r>
    </w:p>
    <w:p>
      <w:pPr>
        <w:spacing w:after="0" w:line="203" w:lineRule="exact"/>
        <w:rPr>
          <w:sz w:val="20"/>
          <w:szCs w:val="20"/>
          <w:color w:val="auto"/>
        </w:rPr>
      </w:pPr>
    </w:p>
    <w:p>
      <w:pPr>
        <w:ind w:right="40" w:firstLine="351"/>
        <w:spacing w:after="0" w:line="253" w:lineRule="auto"/>
        <w:rPr>
          <w:sz w:val="20"/>
          <w:szCs w:val="20"/>
          <w:color w:val="auto"/>
        </w:rPr>
      </w:pPr>
      <w:r>
        <w:rPr>
          <w:rFonts w:ascii="Arial" w:cs="Arial" w:eastAsia="Arial" w:hAnsi="Arial"/>
          <w:sz w:val="15"/>
          <w:szCs w:val="15"/>
          <w:color w:val="auto"/>
        </w:rPr>
        <w:t>Governments, regulators, plaintiffs’ attorneys, privacy advocates have increased their focus on how companies collect, process, use, store, share, and transmit personal data and personal information. Any perception of our practices, products, offerings, or services as a violation of individual privacy or data protection rights may subject us to public criticism, lawsuits, reputational harm, or investigations or claims by regulators, industry groups or other third parties, all of which could disrupt or adversely impact our business and expose us to increased liability. Moreover, because the interpretation and application of</w:t>
      </w:r>
    </w:p>
    <w:p>
      <w:pPr>
        <w:spacing w:after="0" w:line="200" w:lineRule="exact"/>
        <w:rPr>
          <w:sz w:val="20"/>
          <w:szCs w:val="20"/>
          <w:color w:val="auto"/>
        </w:rPr>
      </w:pPr>
    </w:p>
    <w:p>
      <w:pPr>
        <w:spacing w:after="0" w:line="268"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62" w:name="page63"/>
    <w:bookmarkEnd w:id="62"/>
    <w:p>
      <w:pPr>
        <w:ind w:right="20"/>
        <w:spacing w:after="0" w:line="249" w:lineRule="auto"/>
        <w:rPr>
          <w:sz w:val="20"/>
          <w:szCs w:val="20"/>
          <w:color w:val="auto"/>
        </w:rPr>
      </w:pPr>
      <w:r>
        <w:rPr>
          <w:rFonts w:ascii="Arial" w:cs="Arial" w:eastAsia="Arial" w:hAnsi="Arial"/>
          <w:sz w:val="15"/>
          <w:szCs w:val="15"/>
          <w:color w:val="auto"/>
        </w:rPr>
        <w:t>many laws and regulations relating to privacy, data protection, and information security are uncertain, it is possible that these laws and regulations may be interpreted and applied in a manner that is inconsistent with our existing data management practices or the features of our products, offerings, and services. We could be required to fundamentally change our business activities and practices or modify our offerings and services, any of which could require significant additional expense and adversely affect our business, including impacting our ability to innovate, delaying our development roadmap and adversely affecting our relationships with customers and our ability to compete. If we are obligated to fundamentally change our business activities and practices or modify our products, offerings, or services, we may be unable to make such changes and modifications in a commercially reasonable manner, or at all, and our ability to develop new products, offerings, and services could be limited.</w:t>
      </w:r>
    </w:p>
    <w:p>
      <w:pPr>
        <w:spacing w:after="0" w:line="194" w:lineRule="exact"/>
        <w:rPr>
          <w:sz w:val="20"/>
          <w:szCs w:val="20"/>
          <w:color w:val="auto"/>
        </w:rPr>
      </w:pPr>
    </w:p>
    <w:p>
      <w:pPr>
        <w:ind w:right="440"/>
        <w:spacing w:after="0" w:line="279" w:lineRule="auto"/>
        <w:rPr>
          <w:sz w:val="20"/>
          <w:szCs w:val="20"/>
          <w:color w:val="auto"/>
        </w:rPr>
      </w:pPr>
      <w:r>
        <w:rPr>
          <w:rFonts w:ascii="Arial" w:cs="Arial" w:eastAsia="Arial" w:hAnsi="Arial"/>
          <w:sz w:val="15"/>
          <w:szCs w:val="15"/>
          <w:i w:val="1"/>
          <w:iCs w:val="1"/>
          <w:color w:val="auto"/>
        </w:rPr>
        <w:t>We are subject to governmental export and import controls that could impair our ability to compete in international markets or subject us to liability if we violate the controls.</w:t>
      </w:r>
    </w:p>
    <w:p>
      <w:pPr>
        <w:spacing w:after="0" w:line="179" w:lineRule="exact"/>
        <w:rPr>
          <w:sz w:val="20"/>
          <w:szCs w:val="20"/>
          <w:color w:val="auto"/>
        </w:rPr>
      </w:pPr>
    </w:p>
    <w:p>
      <w:pPr>
        <w:ind w:right="40" w:firstLine="351"/>
        <w:spacing w:after="0" w:line="251" w:lineRule="auto"/>
        <w:rPr>
          <w:sz w:val="20"/>
          <w:szCs w:val="20"/>
          <w:color w:val="auto"/>
        </w:rPr>
      </w:pPr>
      <w:r>
        <w:rPr>
          <w:rFonts w:ascii="Arial" w:cs="Arial" w:eastAsia="Arial" w:hAnsi="Arial"/>
          <w:sz w:val="15"/>
          <w:szCs w:val="15"/>
          <w:color w:val="auto"/>
        </w:rPr>
        <w:t>Our offerings are subject to export controls and economic sanctions laws and regulations that prohibit the delivery of certain solutions and services without the required export authorizations or export to locations, governments, and persons targeted by applicable sanctions. While we have processes to prevent our offerings from being exported in violation of these laws, including obtaining authorizations as appropriate and screening against U.S. government and international lists of restricted and prohibited persons, we cannot guarantee that these processes will prevent all violations of export control and sanctions laws.</w:t>
      </w:r>
    </w:p>
    <w:p>
      <w:pPr>
        <w:spacing w:after="0" w:line="199" w:lineRule="exact"/>
        <w:rPr>
          <w:sz w:val="20"/>
          <w:szCs w:val="20"/>
          <w:color w:val="auto"/>
        </w:rPr>
      </w:pPr>
    </w:p>
    <w:p>
      <w:pPr>
        <w:ind w:right="20" w:firstLine="351"/>
        <w:spacing w:after="0" w:line="253" w:lineRule="auto"/>
        <w:rPr>
          <w:sz w:val="20"/>
          <w:szCs w:val="20"/>
          <w:color w:val="auto"/>
        </w:rPr>
      </w:pPr>
      <w:r>
        <w:rPr>
          <w:rFonts w:ascii="Arial" w:cs="Arial" w:eastAsia="Arial" w:hAnsi="Arial"/>
          <w:sz w:val="15"/>
          <w:szCs w:val="15"/>
          <w:color w:val="auto"/>
        </w:rPr>
        <w:t>If our channel partners fail to obtain appropriate import, export, or re-export licenses or permits, we may also be adversely affected, through reputational harm as well as other negative consequences including government investigations and penalties. We presently incorporate export control and sanctions compliance requirements in our channel partner agreements. Complying with export control and sanctions regulations for a particular sale may be time-consuming and may result in the delay or loss of sales opportunities. Violations of applicable sanctions or export control laws can result in fines or penalties.</w:t>
      </w:r>
    </w:p>
    <w:p>
      <w:pPr>
        <w:spacing w:after="0" w:line="198" w:lineRule="exact"/>
        <w:rPr>
          <w:sz w:val="20"/>
          <w:szCs w:val="20"/>
          <w:color w:val="auto"/>
        </w:rPr>
      </w:pPr>
    </w:p>
    <w:p>
      <w:pPr>
        <w:ind w:right="320" w:firstLine="351"/>
        <w:spacing w:after="0" w:line="255" w:lineRule="auto"/>
        <w:rPr>
          <w:sz w:val="20"/>
          <w:szCs w:val="20"/>
          <w:color w:val="auto"/>
        </w:rPr>
      </w:pPr>
      <w:r>
        <w:rPr>
          <w:rFonts w:ascii="Arial" w:cs="Arial" w:eastAsia="Arial" w:hAnsi="Arial"/>
          <w:sz w:val="15"/>
          <w:szCs w:val="15"/>
          <w:color w:val="auto"/>
        </w:rPr>
        <w:t>For additional risks regarding sanctions and trade protectionism, please see the risk factor entitled “We are dependent on international revenue and operations . . .” earlier in this section.</w:t>
      </w:r>
    </w:p>
    <w:p>
      <w:pPr>
        <w:spacing w:after="0" w:line="178"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If we are not able to adequately protect our proprietary rights, our business could be harmed.</w:t>
      </w:r>
    </w:p>
    <w:p>
      <w:pPr>
        <w:spacing w:after="0" w:line="232" w:lineRule="exact"/>
        <w:rPr>
          <w:sz w:val="20"/>
          <w:szCs w:val="20"/>
          <w:color w:val="auto"/>
        </w:rPr>
      </w:pPr>
    </w:p>
    <w:p>
      <w:pPr>
        <w:ind w:right="40" w:firstLine="351"/>
        <w:spacing w:after="0" w:line="247" w:lineRule="auto"/>
        <w:rPr>
          <w:sz w:val="20"/>
          <w:szCs w:val="20"/>
          <w:color w:val="auto"/>
        </w:rPr>
      </w:pPr>
      <w:r>
        <w:rPr>
          <w:rFonts w:ascii="Arial" w:cs="Arial" w:eastAsia="Arial" w:hAnsi="Arial"/>
          <w:sz w:val="15"/>
          <w:szCs w:val="15"/>
          <w:color w:val="auto"/>
        </w:rPr>
        <w:t>We rely on a combination of patent, copyright, and trademark laws, trade secret protections, confidentiality procedures, and contractual provisions to protect our proprietary rights. However, the steps we take to protect our intellectual property rights may be inadequate. While we have patent applications pending in the United States and throughout the world, we may be unable to obtain patent protection for the technology covered in our patent applications. In addition, any patents issued to us in the future may not provide us with competitive advantages or may be successfully challenged by third parties. Furthermore, legal standards relating to the validity, enforceability, and scope of protection of intellectual property rights are uncertain. Despite our efforts to protect our proprietary rights, unauthorized parties from time to time have copied or reverse engineered aspects of our software or have obtained and used information that we regard as proprietary. Policing unauthorized use of our software is time-consuming and costly. We are unable to measure the extent to which unauthorized use of our software exists and we expect that unauthorized use of software will remain a persistent problem, particularly in emerging economies.</w:t>
      </w:r>
    </w:p>
    <w:p>
      <w:pPr>
        <w:spacing w:after="0" w:line="207"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Additionally, we actively protect the secrecy of our confidential information and trade secrets, including our source code. If unauthorized disclosure of our source code occurs, we could potentially lose future trade secret protection for that source code. Unauthorized disclosure of our source code could make it easier for third parties to compete with our offerings by copying functionality, which could adversely affect our financial performance and our reputation. We also seek to protect our confidential information and trade secrets through the use of non-disclosure agreements with our employees, customers, contractors, vendors, and partners. However, it is possible that our confidential information and trade secrets may be disclosed or published without our authorization. If this were to occur, it may be difficult and/or costly for us to enforce our rights, and our financial performance and reputation could be negatively impacted.</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We may face intellectual property infringement claims that could be costly to defend and result in the loss of significant rights.</w:t>
      </w:r>
    </w:p>
    <w:p>
      <w:pPr>
        <w:spacing w:after="0" w:line="232" w:lineRule="exact"/>
        <w:rPr>
          <w:sz w:val="20"/>
          <w:szCs w:val="20"/>
          <w:color w:val="auto"/>
        </w:rPr>
      </w:pPr>
    </w:p>
    <w:p>
      <w:pPr>
        <w:ind w:right="220" w:firstLine="351"/>
        <w:spacing w:after="0" w:line="253" w:lineRule="auto"/>
        <w:rPr>
          <w:sz w:val="20"/>
          <w:szCs w:val="20"/>
          <w:color w:val="auto"/>
        </w:rPr>
      </w:pPr>
      <w:r>
        <w:rPr>
          <w:rFonts w:ascii="Arial" w:cs="Arial" w:eastAsia="Arial" w:hAnsi="Arial"/>
          <w:sz w:val="15"/>
          <w:szCs w:val="15"/>
          <w:color w:val="auto"/>
        </w:rPr>
        <w:t>Our competitors, as well as a number of other entities and individuals, may own or claim to own intellectual property relating to our business. Third parties may claim that we are infringing upon or misappropriating their intellectual property rights, and we may be found to be infringing upon such rights, even if we are unaware of the intellectual property rights claimed against us. As more software patents are granted worldwide, the number of offerings and competitors in our industries grows,</w:t>
      </w: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63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63" w:name="page64"/>
    <w:bookmarkEnd w:id="63"/>
    <w:p>
      <w:pPr>
        <w:ind w:right="160"/>
        <w:spacing w:after="0" w:line="257" w:lineRule="auto"/>
        <w:rPr>
          <w:sz w:val="20"/>
          <w:szCs w:val="20"/>
          <w:color w:val="auto"/>
        </w:rPr>
      </w:pPr>
      <w:r>
        <w:rPr>
          <w:rFonts w:ascii="Arial" w:cs="Arial" w:eastAsia="Arial" w:hAnsi="Arial"/>
          <w:sz w:val="15"/>
          <w:szCs w:val="15"/>
          <w:color w:val="auto"/>
        </w:rPr>
        <w:t>and the functionality of products in different industries overlaps, we expect that software developers will be increasingly subject to infringement claims. Additionally, certain patent assertion entities have become more aggressive in threatening and pursuing litigation in attempts to obtain fees for licensing the right to use patents.</w:t>
      </w:r>
    </w:p>
    <w:p>
      <w:pPr>
        <w:spacing w:after="0" w:line="196" w:lineRule="exact"/>
        <w:rPr>
          <w:sz w:val="20"/>
          <w:szCs w:val="20"/>
          <w:color w:val="auto"/>
        </w:rPr>
      </w:pPr>
    </w:p>
    <w:p>
      <w:pPr>
        <w:ind w:firstLine="351"/>
        <w:spacing w:after="0" w:line="249" w:lineRule="auto"/>
        <w:rPr>
          <w:sz w:val="20"/>
          <w:szCs w:val="20"/>
          <w:color w:val="auto"/>
        </w:rPr>
      </w:pPr>
      <w:r>
        <w:rPr>
          <w:rFonts w:ascii="Arial" w:cs="Arial" w:eastAsia="Arial" w:hAnsi="Arial"/>
          <w:sz w:val="15"/>
          <w:szCs w:val="15"/>
          <w:color w:val="auto"/>
        </w:rPr>
        <w:t>Any claims or threats of infringement or misappropriation, whether with or without merit, have been and could in the future be time-consuming to defend, result in costly litigation and diversion of resources, cause product delays, require us to change our products or business practices, prevent us from offering our software and services, or require us to enter into royalty or licensing agreements. In addition, such royalty or license agreements, if required, may not be available on acceptable terms, if at all, which would likely harm our business. We may also be obligated to indemnify our customers or business partners or pay substantial settlement costs, including royalty payments, in connection with any such claim or litigation and to obtain licenses, modify applications, or refund fees, which could be costly. Furthermore, from time to time we may introduce or acquire new products, including in areas where we historically have not competed, which could increase our exposure to patent and other intellectual property claims.</w:t>
      </w:r>
    </w:p>
    <w:p>
      <w:pPr>
        <w:spacing w:after="0" w:line="194"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Contracting with government entities exposes us to additional risks inherent in the government procurement process.</w:t>
      </w:r>
    </w:p>
    <w:p>
      <w:pPr>
        <w:spacing w:after="0" w:line="232" w:lineRule="exact"/>
        <w:rPr>
          <w:sz w:val="20"/>
          <w:szCs w:val="20"/>
          <w:color w:val="auto"/>
        </w:rPr>
      </w:pPr>
    </w:p>
    <w:p>
      <w:pPr>
        <w:ind w:right="60" w:firstLine="351"/>
        <w:spacing w:after="0" w:line="251" w:lineRule="auto"/>
        <w:rPr>
          <w:sz w:val="20"/>
          <w:szCs w:val="20"/>
          <w:color w:val="auto"/>
        </w:rPr>
      </w:pPr>
      <w:r>
        <w:rPr>
          <w:rFonts w:ascii="Arial" w:cs="Arial" w:eastAsia="Arial" w:hAnsi="Arial"/>
          <w:sz w:val="15"/>
          <w:szCs w:val="15"/>
          <w:color w:val="auto"/>
        </w:rPr>
        <w:t>We provide products and services, directly and indirectly, to a variety of government entities. Risks associated with licensing and selling products and services to government entities include extended sales and collection cycles, varying governmental budgeting processes, and adherence to complex procurement regulations and other government -specific contractual requirements. We may be subject to audits and investigations relating to our government contracts and any violations could result in civil and criminal penalties and administrative sanctions, including termination of contracts, payment of fines, and suspension or debarment from future government business, as well as harm to our reputation and financial results.</w:t>
      </w:r>
    </w:p>
    <w:p>
      <w:pPr>
        <w:spacing w:after="0" w:line="193"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Risks Relating to Financial Developments</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We are exposed to fluctuations in currency exchange rates that could negatively impact our financial results and cash flows.</w:t>
      </w:r>
    </w:p>
    <w:p>
      <w:pPr>
        <w:spacing w:after="0" w:line="232" w:lineRule="exact"/>
        <w:rPr>
          <w:sz w:val="20"/>
          <w:szCs w:val="20"/>
          <w:color w:val="auto"/>
        </w:rPr>
      </w:pPr>
    </w:p>
    <w:p>
      <w:pPr>
        <w:ind w:right="100" w:firstLine="351"/>
        <w:spacing w:after="0" w:line="249" w:lineRule="auto"/>
        <w:rPr>
          <w:sz w:val="20"/>
          <w:szCs w:val="20"/>
          <w:color w:val="auto"/>
        </w:rPr>
      </w:pPr>
      <w:r>
        <w:rPr>
          <w:rFonts w:ascii="Arial" w:cs="Arial" w:eastAsia="Arial" w:hAnsi="Arial"/>
          <w:sz w:val="15"/>
          <w:szCs w:val="15"/>
          <w:color w:val="auto"/>
        </w:rPr>
        <w:t>Because we conduct a substantial portion of our business outside the United States, we face exposure to adverse movements in foreign currency exchange rates, which could have a material adverse impact on our financial results and cash flows. These exposures may change over time as business practices evolve and economic conditions change. We use derivative instruments to manage a portion of our cash flow, revenue and expense exposure to fluctuations in foreign currency exchange rates. As part of our risk management strategy, we use foreign currency contracts to manage a portion of our exposures of underlying assets, liabilities, and other obligations, which exist as part of our ongoing business operations. These foreign currency instruments may have maturities that extend for one to 18 months in the future and provide us with some protection against currency exposures. However, our attempts to hedge against these risks may not be completely successful, resulting in an adverse impact on our financial results.</w:t>
      </w:r>
    </w:p>
    <w:p>
      <w:pPr>
        <w:spacing w:after="0" w:line="200" w:lineRule="exact"/>
        <w:rPr>
          <w:sz w:val="20"/>
          <w:szCs w:val="20"/>
          <w:color w:val="auto"/>
        </w:rPr>
      </w:pPr>
    </w:p>
    <w:p>
      <w:pPr>
        <w:ind w:right="100" w:firstLine="351"/>
        <w:spacing w:after="0" w:line="253" w:lineRule="auto"/>
        <w:rPr>
          <w:sz w:val="20"/>
          <w:szCs w:val="20"/>
          <w:color w:val="auto"/>
        </w:rPr>
      </w:pPr>
      <w:r>
        <w:rPr>
          <w:rFonts w:ascii="Arial" w:cs="Arial" w:eastAsia="Arial" w:hAnsi="Arial"/>
          <w:sz w:val="15"/>
          <w:szCs w:val="15"/>
          <w:color w:val="auto"/>
        </w:rPr>
        <w:t>The fluctuations of currencies in which we conduct business can both increase and decrease our overall revenue and expenses for any given period. Although our foreign currency cash flow hedge program extends beyond the current quarter in order to reduce our exposure to foreign currency volatility, we do not attempt to completely mitigate this risk, and in any case, will incur transaction fees in adopting such hedging programs. Such volatility, even when it increases our revenues or decreases our expenses, impacts our ability to accurately predict our future results and earnings.</w:t>
      </w:r>
    </w:p>
    <w:p>
      <w:pPr>
        <w:spacing w:after="0" w:line="198" w:lineRule="exact"/>
        <w:rPr>
          <w:sz w:val="20"/>
          <w:szCs w:val="20"/>
          <w:color w:val="auto"/>
        </w:rPr>
      </w:pPr>
    </w:p>
    <w:p>
      <w:pPr>
        <w:ind w:right="40" w:firstLine="351"/>
        <w:spacing w:after="0" w:line="235" w:lineRule="auto"/>
        <w:rPr>
          <w:sz w:val="20"/>
          <w:szCs w:val="20"/>
          <w:color w:val="auto"/>
        </w:rPr>
      </w:pPr>
      <w:r>
        <w:rPr>
          <w:rFonts w:ascii="Arial" w:cs="Arial" w:eastAsia="Arial" w:hAnsi="Arial"/>
          <w:sz w:val="15"/>
          <w:szCs w:val="15"/>
          <w:color w:val="auto"/>
        </w:rPr>
        <w:t>In addition, global events, including the sudden and unexpected effects of the COVID-19 pandemic as well as geopolitical and economic developments, may contribute to volatility in foreign exchange markets, which we may not be able to effectively manage, and our financial results could be adversely impacted. Additionally, countries in which we operate may be classified as highly inflationary economies, requiring special accounting and financial reporting treatment for such operations, or such countries’ currencies may be devalued, or both, which may adversely impact our business operations and financial results.</w:t>
      </w:r>
    </w:p>
    <w:p>
      <w:pPr>
        <w:spacing w:after="0" w:line="192"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Our debt service obligations may adversely affect our financial condition and cash flows from operations.</w:t>
      </w:r>
    </w:p>
    <w:p>
      <w:pPr>
        <w:spacing w:after="0" w:line="232" w:lineRule="exact"/>
        <w:rPr>
          <w:sz w:val="20"/>
          <w:szCs w:val="20"/>
          <w:color w:val="auto"/>
        </w:rPr>
      </w:pPr>
    </w:p>
    <w:p>
      <w:pPr>
        <w:ind w:right="20" w:firstLine="351"/>
        <w:spacing w:after="0" w:line="237" w:lineRule="auto"/>
        <w:rPr>
          <w:sz w:val="20"/>
          <w:szCs w:val="20"/>
          <w:color w:val="auto"/>
        </w:rPr>
      </w:pPr>
      <w:r>
        <w:rPr>
          <w:rFonts w:ascii="Arial" w:cs="Arial" w:eastAsia="Arial" w:hAnsi="Arial"/>
          <w:sz w:val="15"/>
          <w:szCs w:val="15"/>
          <w:color w:val="auto"/>
        </w:rPr>
        <w:t>We have $2.30 billion of principal debt, consisting of notes due at various times from June 2025 to December 2031, as of April 30, 2023, as described in Part I, Item 1. We also entered into a credit agreement that provides for an unsecured revolving loan facility in the aggregate principal amount of $1.5 billion, with an option to be increased up to $2.0 billion, as described in Part I, Item 1. Maintenance of our indebtedness, contractual restrictions, and additional issuances of indebtedness could:</w:t>
      </w:r>
    </w:p>
    <w:p>
      <w:pPr>
        <w:spacing w:after="0" w:line="221" w:lineRule="exact"/>
        <w:rPr>
          <w:sz w:val="20"/>
          <w:szCs w:val="20"/>
          <w:color w:val="auto"/>
        </w:rPr>
      </w:pPr>
    </w:p>
    <w:p>
      <w:pPr>
        <w:jc w:val="center"/>
        <w:ind w:left="5200" w:right="940" w:hanging="4915"/>
        <w:spacing w:after="0" w:line="875" w:lineRule="auto"/>
        <w:tabs>
          <w:tab w:leader="none" w:pos="561" w:val="left"/>
        </w:tabs>
        <w:numPr>
          <w:ilvl w:val="0"/>
          <w:numId w:val="31"/>
        </w:numPr>
        <w:rPr>
          <w:rFonts w:ascii="Arial" w:cs="Arial" w:eastAsia="Arial" w:hAnsi="Arial"/>
          <w:sz w:val="19"/>
          <w:szCs w:val="19"/>
          <w:color w:val="auto"/>
        </w:rPr>
      </w:pPr>
      <w:r>
        <w:rPr>
          <w:rFonts w:ascii="Arial" w:cs="Arial" w:eastAsia="Arial" w:hAnsi="Arial"/>
          <w:sz w:val="15"/>
          <w:szCs w:val="15"/>
          <w:color w:val="auto"/>
        </w:rPr>
        <w:t>cause us to dedicate a substantial portion of our cash flows from operations towards debt service obligations and principal repayments; 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-325120</wp:posOffset>
            </wp:positionV>
            <wp:extent cx="6736080" cy="4000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64" w:name="page65"/>
    <w:bookmarkEnd w:id="64"/>
    <w:p>
      <w:pPr>
        <w:ind w:left="560" w:hanging="275"/>
        <w:spacing w:after="0"/>
        <w:tabs>
          <w:tab w:leader="none" w:pos="560" w:val="left"/>
        </w:tabs>
        <w:numPr>
          <w:ilvl w:val="0"/>
          <w:numId w:val="32"/>
        </w:numPr>
        <w:rPr>
          <w:rFonts w:ascii="Arial" w:cs="Arial" w:eastAsia="Arial" w:hAnsi="Arial"/>
          <w:sz w:val="19"/>
          <w:szCs w:val="19"/>
          <w:color w:val="auto"/>
        </w:rPr>
      </w:pPr>
      <w:r>
        <w:rPr>
          <w:rFonts w:ascii="Arial" w:cs="Arial" w:eastAsia="Arial" w:hAnsi="Arial"/>
          <w:sz w:val="15"/>
          <w:szCs w:val="15"/>
          <w:color w:val="auto"/>
        </w:rPr>
        <w:t>increase our vulnerability to adverse changes in general economic, industry, and competitive conditions;</w:t>
      </w:r>
    </w:p>
    <w:p>
      <w:pPr>
        <w:spacing w:after="0" w:line="11" w:lineRule="exact"/>
        <w:rPr>
          <w:rFonts w:ascii="Arial" w:cs="Arial" w:eastAsia="Arial" w:hAnsi="Arial"/>
          <w:sz w:val="19"/>
          <w:szCs w:val="19"/>
          <w:color w:val="auto"/>
        </w:rPr>
      </w:pPr>
    </w:p>
    <w:p>
      <w:pPr>
        <w:ind w:left="560" w:hanging="275"/>
        <w:spacing w:after="0" w:line="231" w:lineRule="auto"/>
        <w:tabs>
          <w:tab w:leader="none" w:pos="560" w:val="left"/>
        </w:tabs>
        <w:numPr>
          <w:ilvl w:val="0"/>
          <w:numId w:val="32"/>
        </w:numPr>
        <w:rPr>
          <w:rFonts w:ascii="Arial" w:cs="Arial" w:eastAsia="Arial" w:hAnsi="Arial"/>
          <w:sz w:val="19"/>
          <w:szCs w:val="19"/>
          <w:color w:val="auto"/>
        </w:rPr>
      </w:pPr>
      <w:r>
        <w:rPr>
          <w:rFonts w:ascii="Arial" w:cs="Arial" w:eastAsia="Arial" w:hAnsi="Arial"/>
          <w:sz w:val="15"/>
          <w:szCs w:val="15"/>
          <w:color w:val="auto"/>
        </w:rPr>
        <w:t>limit our flexibility in planning for, or reacting to, changes in our business and our industry;</w:t>
      </w:r>
    </w:p>
    <w:p>
      <w:pPr>
        <w:spacing w:after="0" w:line="12" w:lineRule="exact"/>
        <w:rPr>
          <w:rFonts w:ascii="Arial" w:cs="Arial" w:eastAsia="Arial" w:hAnsi="Arial"/>
          <w:sz w:val="19"/>
          <w:szCs w:val="19"/>
          <w:color w:val="auto"/>
        </w:rPr>
      </w:pPr>
    </w:p>
    <w:p>
      <w:pPr>
        <w:ind w:left="560" w:hanging="275"/>
        <w:spacing w:after="0" w:line="218" w:lineRule="auto"/>
        <w:tabs>
          <w:tab w:leader="none" w:pos="560" w:val="left"/>
        </w:tabs>
        <w:numPr>
          <w:ilvl w:val="0"/>
          <w:numId w:val="32"/>
        </w:numPr>
        <w:rPr>
          <w:rFonts w:ascii="Arial" w:cs="Arial" w:eastAsia="Arial" w:hAnsi="Arial"/>
          <w:sz w:val="19"/>
          <w:szCs w:val="19"/>
          <w:color w:val="auto"/>
        </w:rPr>
      </w:pPr>
      <w:r>
        <w:rPr>
          <w:rFonts w:ascii="Arial" w:cs="Arial" w:eastAsia="Arial" w:hAnsi="Arial"/>
          <w:sz w:val="15"/>
          <w:szCs w:val="15"/>
          <w:color w:val="auto"/>
        </w:rPr>
        <w:t>impair our ability to obtain future financing for working capital, capital expenditures, acquisitions, general corporate, or other purposes; and</w:t>
      </w:r>
    </w:p>
    <w:p>
      <w:pPr>
        <w:spacing w:after="0" w:line="12" w:lineRule="exact"/>
        <w:rPr>
          <w:rFonts w:ascii="Arial" w:cs="Arial" w:eastAsia="Arial" w:hAnsi="Arial"/>
          <w:sz w:val="19"/>
          <w:szCs w:val="19"/>
          <w:color w:val="auto"/>
        </w:rPr>
      </w:pPr>
    </w:p>
    <w:p>
      <w:pPr>
        <w:ind w:left="560" w:hanging="275"/>
        <w:spacing w:after="0" w:line="234" w:lineRule="auto"/>
        <w:tabs>
          <w:tab w:leader="none" w:pos="560" w:val="left"/>
        </w:tabs>
        <w:numPr>
          <w:ilvl w:val="0"/>
          <w:numId w:val="32"/>
        </w:numPr>
        <w:rPr>
          <w:rFonts w:ascii="Arial" w:cs="Arial" w:eastAsia="Arial" w:hAnsi="Arial"/>
          <w:sz w:val="19"/>
          <w:szCs w:val="19"/>
          <w:color w:val="auto"/>
        </w:rPr>
      </w:pPr>
      <w:r>
        <w:rPr>
          <w:rFonts w:ascii="Arial" w:cs="Arial" w:eastAsia="Arial" w:hAnsi="Arial"/>
          <w:sz w:val="15"/>
          <w:szCs w:val="15"/>
          <w:color w:val="auto"/>
        </w:rPr>
        <w:t>due to limitations within the debt instruments, restrict our ability to grant liens on property, enter into certain mergers, dispose of all or substantially all of the assets of Autodesk and its subsidiaries, taken as a whole, materially change our business, and incur subsidiary indebtedness, subject to customary exceptions.</w:t>
      </w:r>
    </w:p>
    <w:p>
      <w:pPr>
        <w:spacing w:after="0" w:line="207" w:lineRule="exact"/>
        <w:rPr>
          <w:sz w:val="20"/>
          <w:szCs w:val="20"/>
          <w:color w:val="auto"/>
        </w:rPr>
      </w:pPr>
    </w:p>
    <w:p>
      <w:pPr>
        <w:ind w:right="20" w:firstLine="351"/>
        <w:spacing w:after="0" w:line="249" w:lineRule="auto"/>
        <w:rPr>
          <w:sz w:val="20"/>
          <w:szCs w:val="20"/>
          <w:color w:val="auto"/>
        </w:rPr>
      </w:pPr>
      <w:r>
        <w:rPr>
          <w:rFonts w:ascii="Arial" w:cs="Arial" w:eastAsia="Arial" w:hAnsi="Arial"/>
          <w:sz w:val="15"/>
          <w:szCs w:val="15"/>
          <w:color w:val="auto"/>
        </w:rPr>
        <w:t>We are required to comply with the covenants set forth in our credit agreement. If we breach any of the covenants and do not obtain a waiver from the note holders or lenders, then, subject to applicable cure periods, we would not be able to incur additional indebtedness under the credit agreement described in Part I, Item 1, and any outstanding indebtedness under the credit agreement may be declared immediately due and payable. In addition, changes by any rating agency to our credit rating may negatively impact the value and liquidity of our securities. Under certain circumstances, if our credit ratings are downgraded or other negative action is taken, the interest rate payable by us under our credit agreement could increase. Downgrades in our credit ratings could also restrict our ability to obtain additional financing in the future and could affect the terms of any such financing.</w:t>
      </w:r>
    </w:p>
    <w:p>
      <w:pPr>
        <w:spacing w:after="0" w:line="197" w:lineRule="exact"/>
        <w:rPr>
          <w:sz w:val="20"/>
          <w:szCs w:val="20"/>
          <w:color w:val="auto"/>
        </w:rPr>
      </w:pPr>
    </w:p>
    <w:p>
      <w:pPr>
        <w:jc w:val="both"/>
        <w:ind w:right="160"/>
        <w:spacing w:after="0" w:line="262" w:lineRule="auto"/>
        <w:rPr>
          <w:sz w:val="20"/>
          <w:szCs w:val="20"/>
          <w:color w:val="auto"/>
        </w:rPr>
      </w:pPr>
      <w:r>
        <w:rPr>
          <w:rFonts w:ascii="Arial" w:cs="Arial" w:eastAsia="Arial" w:hAnsi="Arial"/>
          <w:sz w:val="15"/>
          <w:szCs w:val="15"/>
          <w:i w:val="1"/>
          <w:iCs w:val="1"/>
          <w:color w:val="auto"/>
        </w:rPr>
        <w:t>Our investment portfolio consists of a variety of investment vehicles that are subject to interest rate trends, market volatility, and other economic factors. If general economic conditions decline, this could cause the credit ratings of our investments to deteriorate and illiquidity in the financial marketplace, and we may experience a decline in interest income and an inability to sell our investments, leading to impairment in the value of our investments.</w:t>
      </w:r>
    </w:p>
    <w:p>
      <w:pPr>
        <w:spacing w:after="0" w:line="191" w:lineRule="exact"/>
        <w:rPr>
          <w:sz w:val="20"/>
          <w:szCs w:val="20"/>
          <w:color w:val="auto"/>
        </w:rPr>
      </w:pPr>
    </w:p>
    <w:p>
      <w:pPr>
        <w:ind w:right="160" w:firstLine="351"/>
        <w:spacing w:after="0" w:line="251" w:lineRule="auto"/>
        <w:rPr>
          <w:sz w:val="20"/>
          <w:szCs w:val="20"/>
          <w:color w:val="auto"/>
        </w:rPr>
      </w:pPr>
      <w:r>
        <w:rPr>
          <w:rFonts w:ascii="Arial" w:cs="Arial" w:eastAsia="Arial" w:hAnsi="Arial"/>
          <w:sz w:val="15"/>
          <w:szCs w:val="15"/>
          <w:color w:val="auto"/>
        </w:rPr>
        <w:t>It is our policy to invest our cash, cash equivalents, and marketable securities in highly liquid instruments with, and in the custody of, financial institutions with high credit ratings and to limit the amounts invested with any one institution, type of security, or issuer. However, we are subject to general economic conditions, interest rate trends, and volatility in the financial marketplace that can affect the income that we receive from our investments, the net realizable value of our investments (including our cash, cash equivalents, and marketable securities), and our ability to sell them. Any one of these factors could reduce our investment income or result in material charges, which in turn could impact our overall net income (loss) and earnings (loss) per share.</w:t>
      </w:r>
    </w:p>
    <w:p>
      <w:pPr>
        <w:spacing w:after="0" w:line="199" w:lineRule="exact"/>
        <w:rPr>
          <w:sz w:val="20"/>
          <w:szCs w:val="20"/>
          <w:color w:val="auto"/>
        </w:rPr>
      </w:pPr>
    </w:p>
    <w:p>
      <w:pPr>
        <w:ind w:firstLine="351"/>
        <w:spacing w:after="0" w:line="251" w:lineRule="auto"/>
        <w:rPr>
          <w:sz w:val="20"/>
          <w:szCs w:val="20"/>
          <w:color w:val="auto"/>
        </w:rPr>
      </w:pPr>
      <w:r>
        <w:rPr>
          <w:rFonts w:ascii="Arial" w:cs="Arial" w:eastAsia="Arial" w:hAnsi="Arial"/>
          <w:sz w:val="15"/>
          <w:szCs w:val="15"/>
          <w:color w:val="auto"/>
        </w:rPr>
        <w:t>From time to time we make direct investments in privately held companies. Investments in privately held companies are considered inherently risky. The technologies and products these companies have under development are typically in the early stages and may never materialize, which could result in a loss of all or a substantial part of our initial investment in these companies. The evaluation of privately held companies is based on information that we request from these companies, which is not subject to the same disclosure regulations as U.S. publicly traded companies and, as such, the basis for these evaluations is subject to the timing and accuracy of the data received from these companies.</w:t>
      </w:r>
    </w:p>
    <w:p>
      <w:pPr>
        <w:spacing w:after="0" w:line="199" w:lineRule="exact"/>
        <w:rPr>
          <w:sz w:val="20"/>
          <w:szCs w:val="20"/>
          <w:color w:val="auto"/>
        </w:rPr>
      </w:pPr>
    </w:p>
    <w:p>
      <w:pPr>
        <w:ind w:right="40" w:firstLine="351"/>
        <w:spacing w:after="0" w:line="266" w:lineRule="auto"/>
        <w:rPr>
          <w:sz w:val="20"/>
          <w:szCs w:val="20"/>
          <w:color w:val="auto"/>
        </w:rPr>
      </w:pPr>
      <w:r>
        <w:rPr>
          <w:rFonts w:ascii="Arial" w:cs="Arial" w:eastAsia="Arial" w:hAnsi="Arial"/>
          <w:sz w:val="15"/>
          <w:szCs w:val="15"/>
          <w:color w:val="auto"/>
        </w:rPr>
        <w:t>A loss on any of our investments may cause us to record an other-than-temporary impairment charge. The effect of this charge could impact our overall net income and earnings per share</w:t>
      </w:r>
      <w:r>
        <w:rPr>
          <w:rFonts w:ascii="Arial" w:cs="Arial" w:eastAsia="Arial" w:hAnsi="Arial"/>
          <w:sz w:val="18"/>
          <w:szCs w:val="18"/>
          <w:color w:val="auto"/>
        </w:rPr>
        <w:t>.</w:t>
      </w:r>
      <w:r>
        <w:rPr>
          <w:rFonts w:ascii="Arial" w:cs="Arial" w:eastAsia="Arial" w:hAnsi="Arial"/>
          <w:sz w:val="15"/>
          <w:szCs w:val="15"/>
          <w:color w:val="auto"/>
        </w:rPr>
        <w:t xml:space="preserve"> In any of these scenarios, our liquidity may be negatively impacted, which in turn may prohibit us from making investments in our business, taking advantage of opportunities, and potentially meeting our financial obligations as they come due.</w:t>
      </w:r>
    </w:p>
    <w:p>
      <w:pPr>
        <w:spacing w:after="0" w:line="179"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Changes in tax rules and regulations, and uncertainties in interpretation and application, could materially affect our tax obligations and effective tax rate.</w:t>
      </w:r>
    </w:p>
    <w:p>
      <w:pPr>
        <w:spacing w:after="0" w:line="232" w:lineRule="exact"/>
        <w:rPr>
          <w:sz w:val="20"/>
          <w:szCs w:val="20"/>
          <w:color w:val="auto"/>
        </w:rPr>
      </w:pPr>
    </w:p>
    <w:p>
      <w:pPr>
        <w:ind w:right="20" w:firstLine="351"/>
        <w:spacing w:after="0" w:line="249" w:lineRule="auto"/>
        <w:rPr>
          <w:sz w:val="20"/>
          <w:szCs w:val="20"/>
          <w:color w:val="auto"/>
        </w:rPr>
      </w:pPr>
      <w:r>
        <w:rPr>
          <w:rFonts w:ascii="Arial" w:cs="Arial" w:eastAsia="Arial" w:hAnsi="Arial"/>
          <w:sz w:val="15"/>
          <w:szCs w:val="15"/>
          <w:color w:val="auto"/>
        </w:rPr>
        <w:t>We are a U.S.-based multinational company subject to tax in multiple U.S. and foreign tax jurisdictions. Our effective tax rate is primarily based on our geographic mix of earnings; statutory rates; stock-based compensation; intercompany arrangements, including the manner we develop, value, and license our intellectual property; and enacted tax rules. Significant judgment is required in determining our effective tax rate and in evaluating our tax positions on a worldwide basis. While we believe our tax positions, including intercompany transfer pricing policies, are consistent with the tax laws in the jurisdictions in which we conduct our business, it is possible that these positions may be challenged by tax authorities and may have a significant impact on our effective tax rate and cash taxes.</w:t>
      </w:r>
    </w:p>
    <w:p>
      <w:pPr>
        <w:spacing w:after="0" w:line="203" w:lineRule="exact"/>
        <w:rPr>
          <w:sz w:val="20"/>
          <w:szCs w:val="20"/>
          <w:color w:val="auto"/>
        </w:rPr>
      </w:pPr>
    </w:p>
    <w:p>
      <w:pPr>
        <w:ind w:right="80" w:firstLine="351"/>
        <w:spacing w:after="0" w:line="241" w:lineRule="auto"/>
        <w:rPr>
          <w:sz w:val="20"/>
          <w:szCs w:val="20"/>
          <w:color w:val="auto"/>
        </w:rPr>
      </w:pPr>
      <w:r>
        <w:rPr>
          <w:rFonts w:ascii="Arial" w:cs="Arial" w:eastAsia="Arial" w:hAnsi="Arial"/>
          <w:sz w:val="15"/>
          <w:szCs w:val="15"/>
          <w:color w:val="auto"/>
        </w:rPr>
        <w:t>Tax laws in the United States and in foreign tax jurisdictions are dynamic and subject to change as new laws are passed and new interpretations of the law are issued or applied. For example, the U.S. government enacted significant tax law changes in December 2017, the Tax Act, which impacted our tax obligations and effective tax rate beginning in our fiscal 2018 tax year,</w:t>
      </w:r>
    </w:p>
    <w:p>
      <w:pPr>
        <w:spacing w:after="0" w:line="200" w:lineRule="exact"/>
        <w:rPr>
          <w:sz w:val="20"/>
          <w:szCs w:val="20"/>
          <w:color w:val="auto"/>
        </w:rPr>
      </w:pPr>
    </w:p>
    <w:p>
      <w:pPr>
        <w:spacing w:after="0" w:line="265" w:lineRule="exact"/>
        <w:rPr>
          <w:sz w:val="20"/>
          <w:szCs w:val="20"/>
          <w:color w:val="auto"/>
        </w:rPr>
      </w:pPr>
    </w:p>
    <w:p>
      <w:pPr>
        <w:jc w:val="center"/>
        <w:ind w:right="-19"/>
        <w:spacing w:after="0"/>
        <w:rPr>
          <w:sz w:val="20"/>
          <w:szCs w:val="20"/>
          <w:color w:val="auto"/>
        </w:rPr>
      </w:pPr>
      <w:r>
        <w:rPr>
          <w:rFonts w:ascii="Arial" w:cs="Arial" w:eastAsia="Arial" w:hAnsi="Arial"/>
          <w:sz w:val="15"/>
          <w:szCs w:val="15"/>
          <w:color w:val="auto"/>
        </w:rPr>
        <w:t>65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60"/>
          </w:cols>
          <w:pgMar w:left="660" w:top="1239" w:right="680" w:bottom="1440" w:gutter="0" w:footer="0" w:header="0"/>
        </w:sectPr>
      </w:pPr>
    </w:p>
    <w:bookmarkStart w:id="65" w:name="page66"/>
    <w:bookmarkEnd w:id="65"/>
    <w:p>
      <w:pPr>
        <w:ind w:right="220"/>
        <w:spacing w:after="0" w:line="241" w:lineRule="auto"/>
        <w:rPr>
          <w:sz w:val="20"/>
          <w:szCs w:val="20"/>
          <w:color w:val="auto"/>
        </w:rPr>
      </w:pPr>
      <w:r>
        <w:rPr>
          <w:rFonts w:ascii="Arial" w:cs="Arial" w:eastAsia="Arial" w:hAnsi="Arial"/>
          <w:sz w:val="15"/>
          <w:szCs w:val="15"/>
          <w:color w:val="auto"/>
        </w:rPr>
        <w:t>and significant tax legislation was included in the March 2020 CARES Act and subsequent Consolidated Appropriations Act in December 2020. Due to the complexity and varying interpretations of the Tax Act and the CARES Act, the U.S. Department of Treasury and other standard-setting bodies have been issuing and will continue to issue regulations and interpretative guidance that could significantly impact how we will apply the law and the ultimate effect on</w:t>
      </w:r>
    </w:p>
    <w:p>
      <w:pPr>
        <w:ind w:right="460"/>
        <w:spacing w:after="0" w:line="265" w:lineRule="auto"/>
        <w:rPr>
          <w:sz w:val="20"/>
          <w:szCs w:val="20"/>
          <w:color w:val="auto"/>
        </w:rPr>
      </w:pPr>
      <w:r>
        <w:rPr>
          <w:rFonts w:ascii="Arial" w:cs="Arial" w:eastAsia="Arial" w:hAnsi="Arial"/>
          <w:sz w:val="15"/>
          <w:szCs w:val="15"/>
          <w:color w:val="auto"/>
        </w:rPr>
        <w:t>our results of operations from both the Tax Act and the CARES Act, including for our prior tax years. In addition, increases in corporate tax rates, could increase our effective tax rate, cash taxes and have an adverse effect on our results from operations.</w:t>
      </w:r>
    </w:p>
    <w:p>
      <w:pPr>
        <w:spacing w:after="0" w:line="177" w:lineRule="exact"/>
        <w:rPr>
          <w:sz w:val="20"/>
          <w:szCs w:val="20"/>
          <w:color w:val="auto"/>
        </w:rPr>
      </w:pPr>
    </w:p>
    <w:p>
      <w:pPr>
        <w:ind w:right="160" w:firstLine="351"/>
        <w:spacing w:after="0" w:line="271" w:lineRule="auto"/>
        <w:rPr>
          <w:sz w:val="20"/>
          <w:szCs w:val="20"/>
          <w:color w:val="auto"/>
        </w:rPr>
      </w:pPr>
      <w:r>
        <w:rPr>
          <w:rFonts w:ascii="Arial" w:cs="Arial" w:eastAsia="Arial" w:hAnsi="Arial"/>
          <w:sz w:val="15"/>
          <w:szCs w:val="15"/>
          <w:color w:val="auto"/>
        </w:rPr>
        <w:t>Signed into law on August 16, 2022, the Inflation Reduction Act contains many provisions that may impact Autodesk, including the corporate minimum tax and excise tax on stock buybacks. We are monitoring these impacts on our consolidated financial statements.</w:t>
      </w:r>
    </w:p>
    <w:p>
      <w:pPr>
        <w:spacing w:after="0" w:line="185" w:lineRule="exact"/>
        <w:rPr>
          <w:sz w:val="20"/>
          <w:szCs w:val="20"/>
          <w:color w:val="auto"/>
        </w:rPr>
      </w:pPr>
    </w:p>
    <w:p>
      <w:pPr>
        <w:ind w:right="80" w:firstLine="351"/>
        <w:spacing w:after="0" w:line="253" w:lineRule="auto"/>
        <w:rPr>
          <w:sz w:val="20"/>
          <w:szCs w:val="20"/>
          <w:color w:val="auto"/>
        </w:rPr>
      </w:pPr>
      <w:r>
        <w:rPr>
          <w:rFonts w:ascii="Arial" w:cs="Arial" w:eastAsia="Arial" w:hAnsi="Arial"/>
          <w:sz w:val="15"/>
          <w:szCs w:val="15"/>
          <w:color w:val="auto"/>
        </w:rPr>
        <w:t>Increasingly, tax authorities are reviewing existing corporate tax regulatory and legal regimes. Many countries in the European Union as well as other countries and organizations such as the Organization for Economic Cooperation and Development are actively considering new taxing regimes and changes to existing tax laws. If U.S. or foreign tax authorities change applicable tax laws or successfully challenge how or where our profits are currently recognized, our overall taxes could increase, and our business, financial condition, or results of operations may be adversely impacted.</w:t>
      </w:r>
    </w:p>
    <w:p>
      <w:pPr>
        <w:spacing w:after="0" w:line="192" w:lineRule="exact"/>
        <w:rPr>
          <w:sz w:val="20"/>
          <w:szCs w:val="20"/>
          <w:color w:val="auto"/>
        </w:rPr>
      </w:pPr>
    </w:p>
    <w:p>
      <w:pPr>
        <w:ind w:right="100"/>
        <w:spacing w:after="0" w:line="279" w:lineRule="auto"/>
        <w:rPr>
          <w:sz w:val="20"/>
          <w:szCs w:val="20"/>
          <w:color w:val="auto"/>
        </w:rPr>
      </w:pPr>
      <w:r>
        <w:rPr>
          <w:rFonts w:ascii="Arial" w:cs="Arial" w:eastAsia="Arial" w:hAnsi="Arial"/>
          <w:sz w:val="15"/>
          <w:szCs w:val="15"/>
          <w:i w:val="1"/>
          <w:iCs w:val="1"/>
          <w:color w:val="auto"/>
        </w:rPr>
        <w:t>If we were required to record an impairment charge related to the value of our long-lived assets or an additional valuation allowance against our deferred tax assets, our results of operations would be adversely affected.</w:t>
      </w:r>
    </w:p>
    <w:p>
      <w:pPr>
        <w:spacing w:after="0" w:line="179" w:lineRule="exact"/>
        <w:rPr>
          <w:sz w:val="20"/>
          <w:szCs w:val="20"/>
          <w:color w:val="auto"/>
        </w:rPr>
      </w:pPr>
    </w:p>
    <w:p>
      <w:pPr>
        <w:ind w:right="20" w:firstLine="351"/>
        <w:spacing w:after="0" w:line="251" w:lineRule="auto"/>
        <w:rPr>
          <w:sz w:val="20"/>
          <w:szCs w:val="20"/>
          <w:color w:val="auto"/>
        </w:rPr>
      </w:pPr>
      <w:r>
        <w:rPr>
          <w:rFonts w:ascii="Arial" w:cs="Arial" w:eastAsia="Arial" w:hAnsi="Arial"/>
          <w:sz w:val="15"/>
          <w:szCs w:val="15"/>
          <w:color w:val="auto"/>
        </w:rPr>
        <w:t>Our long-lived assets are tested for impairment if indicators of impairment exist. If impairment testing shows that the carrying value of our long- lived assets exceeds their estimated fair values, we would be required to record a non-cash impairment charge, which would decrease the carrying value of our long-lived assets, adversely affecting our results of operations. Our deferred tax assets include net operating loss, amortizable tax assets, and tax credit carryforwards that can be used to offset taxable income and reduce income taxes payable in future periods. Each quarter, we assess the need for a valuation allowance, considering both positive and negative evidence to determine whether all or a portion of the deferred tax assets are more likely than not to be</w:t>
      </w:r>
    </w:p>
    <w:p>
      <w:pPr>
        <w:spacing w:after="0" w:line="12" w:lineRule="exact"/>
        <w:rPr>
          <w:sz w:val="20"/>
          <w:szCs w:val="20"/>
          <w:color w:val="auto"/>
        </w:rPr>
      </w:pPr>
    </w:p>
    <w:p>
      <w:pPr>
        <w:ind w:right="260"/>
        <w:spacing w:after="0" w:line="258" w:lineRule="auto"/>
        <w:rPr>
          <w:sz w:val="20"/>
          <w:szCs w:val="20"/>
          <w:color w:val="auto"/>
        </w:rPr>
      </w:pPr>
      <w:r>
        <w:rPr>
          <w:rFonts w:ascii="Arial" w:cs="Arial" w:eastAsia="Arial" w:hAnsi="Arial"/>
          <w:sz w:val="15"/>
          <w:szCs w:val="15"/>
          <w:color w:val="auto"/>
        </w:rPr>
        <w:t>realized. We continue to have a valuation allowance against certain U.S. and foreign deferred tax assets. Changes in the amount of the U.S. and foreign jurisdictions valuation allowance could also result in a material non-cash expense or benefit in the period in which the valuation allowance is adjusted, and our results of operations could be materially affected. We will continue to perform these tests on our worldwide deferred tax assets, and any future adjustments to the realizability of our deferred tax assets may have a material effect on our financial condition and results of operations.</w:t>
      </w:r>
    </w:p>
    <w:p>
      <w:pPr>
        <w:spacing w:after="0" w:line="190" w:lineRule="exact"/>
        <w:rPr>
          <w:sz w:val="20"/>
          <w:szCs w:val="20"/>
          <w:color w:val="auto"/>
        </w:rPr>
      </w:pPr>
    </w:p>
    <w:p>
      <w:pPr>
        <w:spacing w:after="0"/>
        <w:rPr>
          <w:sz w:val="20"/>
          <w:szCs w:val="20"/>
          <w:color w:val="auto"/>
        </w:rPr>
      </w:pPr>
      <w:r>
        <w:rPr>
          <w:rFonts w:ascii="Arial" w:cs="Arial" w:eastAsia="Arial" w:hAnsi="Arial"/>
          <w:sz w:val="15"/>
          <w:szCs w:val="15"/>
          <w:i w:val="1"/>
          <w:iCs w:val="1"/>
          <w:u w:val="single" w:color="auto"/>
          <w:color w:val="auto"/>
        </w:rPr>
        <w:t>General Risk Factors</w:t>
      </w:r>
    </w:p>
    <w:p>
      <w:pPr>
        <w:spacing w:after="0" w:line="226"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Our business may be significantly disrupted upon the occurrence of a catastrophic event.</w:t>
      </w:r>
    </w:p>
    <w:p>
      <w:pPr>
        <w:spacing w:after="0" w:line="232" w:lineRule="exact"/>
        <w:rPr>
          <w:sz w:val="20"/>
          <w:szCs w:val="20"/>
          <w:color w:val="auto"/>
        </w:rPr>
      </w:pPr>
    </w:p>
    <w:p>
      <w:pPr>
        <w:ind w:right="40" w:firstLine="351"/>
        <w:spacing w:after="0" w:line="231" w:lineRule="auto"/>
        <w:rPr>
          <w:sz w:val="20"/>
          <w:szCs w:val="20"/>
          <w:color w:val="auto"/>
        </w:rPr>
      </w:pPr>
      <w:r>
        <w:rPr>
          <w:rFonts w:ascii="Arial" w:cs="Arial" w:eastAsia="Arial" w:hAnsi="Arial"/>
          <w:sz w:val="15"/>
          <w:szCs w:val="15"/>
          <w:color w:val="auto"/>
        </w:rPr>
        <w:t>Our business is highly automated and relies extensively on the availability of our network and data center infrastructure, our internal technology systems, and our websites. We also rely on hosted computer services from third parties for services that we provide to our customers and computer operations for our internal use. The failure of our systems or hosted computer services due to a catastrophic event, such as an earthquake, fire, flood, tsunami, weather event, telecommunications failure, power failure, cyber attack, terrorism or war (including the significant military action against Ukraine launched by Russia and any related political or economic responses and counter-responses or otherwise by various global actors or the general effect on the global economy), or business interruption from epidemics or pandemics, or the fear of such events, could adversely impact our business, financial results, and financial condition. For example, our corporate headquarters and executive offices are located near major seismic faults in the San Francisco Bay Area and face annual periods of wildfire danger, which increase the probability of power outages and may impact employees’ abilities to commute to work or to work from home. We have developed disaster recovery plans and maintain backup systems in order to reduce the potential impact of a catastrophic event; however, there can be no assurance that these plans and systems would enable us to return to normal business operations. In addition, any such event could negatively impact a country or region in which we sell our products. This could in turn decrease that country’s or region’s demand for our products, negatively impacting our financial results.</w:t>
      </w:r>
    </w:p>
    <w:p>
      <w:pPr>
        <w:spacing w:after="0" w:line="193" w:lineRule="exact"/>
        <w:rPr>
          <w:sz w:val="20"/>
          <w:szCs w:val="20"/>
          <w:color w:val="auto"/>
        </w:rPr>
      </w:pPr>
    </w:p>
    <w:p>
      <w:pPr>
        <w:jc w:val="both"/>
        <w:spacing w:after="0" w:line="262" w:lineRule="auto"/>
        <w:rPr>
          <w:sz w:val="20"/>
          <w:szCs w:val="20"/>
          <w:color w:val="auto"/>
        </w:rPr>
      </w:pPr>
      <w:r>
        <w:rPr>
          <w:rFonts w:ascii="Arial" w:cs="Arial" w:eastAsia="Arial" w:hAnsi="Arial"/>
          <w:sz w:val="15"/>
          <w:szCs w:val="15"/>
          <w:i w:val="1"/>
          <w:iCs w:val="1"/>
          <w:color w:val="auto"/>
        </w:rPr>
        <w:t>We are subject to legal proceedings and regulatory inquiries, and we may be named in additional legal proceedings or become involved in regulatory inquiries in the future, all of which are costly, distracting to our core business, and could result in an unfavorable outcome or a material adverse effect on our business, financial condition, results of operations, cash flows, or the trading prices for our securities.</w:t>
      </w: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20"/>
        <w:spacing w:after="0"/>
        <w:rPr>
          <w:sz w:val="20"/>
          <w:szCs w:val="20"/>
          <w:color w:val="auto"/>
        </w:rPr>
      </w:pPr>
      <w:r>
        <w:rPr>
          <w:rFonts w:ascii="Arial" w:cs="Arial" w:eastAsia="Arial" w:hAnsi="Arial"/>
          <w:sz w:val="15"/>
          <w:szCs w:val="15"/>
          <w:color w:val="auto"/>
        </w:rPr>
        <w:t>66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600"/>
          </w:cols>
          <w:pgMar w:left="660" w:top="1230" w:right="640" w:bottom="1440" w:gutter="0" w:footer="0" w:header="0"/>
        </w:sectPr>
      </w:pPr>
    </w:p>
    <w:bookmarkStart w:id="66" w:name="page67"/>
    <w:bookmarkEnd w:id="66"/>
    <w:p>
      <w:pPr>
        <w:ind w:firstLine="351"/>
        <w:spacing w:after="0" w:line="248" w:lineRule="auto"/>
        <w:rPr>
          <w:sz w:val="20"/>
          <w:szCs w:val="20"/>
          <w:color w:val="auto"/>
        </w:rPr>
      </w:pPr>
      <w:r>
        <w:rPr>
          <w:rFonts w:ascii="Arial" w:cs="Arial" w:eastAsia="Arial" w:hAnsi="Arial"/>
          <w:sz w:val="15"/>
          <w:szCs w:val="15"/>
          <w:color w:val="auto"/>
        </w:rPr>
        <w:t>We are involved in legal proceedings and receive inquiries from regulatory agencies. As the global economy has changed and our business has evolved, we have seen an increase in litigation activity and regulatory inquiries. Like many other technology companies, the number and frequency of inquiries from U.S. and foreign regulatory agencies we have received regarding our business and our business practices, as well as the business practices of others in our industry, have increased in recent years. In the event we are involved in significant disputes or are the subject of a formal action by a regulatory agency, we could be exposed to costly and time -consuming legal proceedings that could result in any number of outcomes. Any claims or regulatory actions initiated by or against us, whether successful or not, could result in high defense costs, damage awards, injunctive relief, increased costs of business, fines or orders to change certain business practices, significant dedication of management time, diversion of operational resources, or otherwise harm our business. In any such event, our financial results, results of operations, cash flows, or trading prices for our securities could be negatively impacted.</w:t>
      </w:r>
    </w:p>
    <w:p>
      <w:pPr>
        <w:spacing w:after="0" w:line="197" w:lineRule="exact"/>
        <w:rPr>
          <w:sz w:val="20"/>
          <w:szCs w:val="20"/>
          <w:color w:val="auto"/>
        </w:rPr>
      </w:pPr>
    </w:p>
    <w:p>
      <w:pPr>
        <w:spacing w:after="0"/>
        <w:rPr>
          <w:sz w:val="20"/>
          <w:szCs w:val="20"/>
          <w:color w:val="auto"/>
        </w:rPr>
      </w:pPr>
      <w:r>
        <w:rPr>
          <w:rFonts w:ascii="Arial" w:cs="Arial" w:eastAsia="Arial" w:hAnsi="Arial"/>
          <w:sz w:val="15"/>
          <w:szCs w:val="15"/>
          <w:i w:val="1"/>
          <w:iCs w:val="1"/>
          <w:color w:val="auto"/>
        </w:rPr>
        <w:t>Changes in existing financial accounting standards or practices, or taxation rules or practices may adversely affect our results of operations.</w:t>
      </w:r>
    </w:p>
    <w:p>
      <w:pPr>
        <w:spacing w:after="0" w:line="232" w:lineRule="exact"/>
        <w:rPr>
          <w:sz w:val="20"/>
          <w:szCs w:val="20"/>
          <w:color w:val="auto"/>
        </w:rPr>
      </w:pPr>
    </w:p>
    <w:p>
      <w:pPr>
        <w:jc w:val="both"/>
        <w:ind w:right="260" w:firstLine="351"/>
        <w:spacing w:after="0" w:line="257" w:lineRule="auto"/>
        <w:rPr>
          <w:sz w:val="20"/>
          <w:szCs w:val="20"/>
          <w:color w:val="auto"/>
        </w:rPr>
      </w:pPr>
      <w:r>
        <w:rPr>
          <w:rFonts w:ascii="Arial" w:cs="Arial" w:eastAsia="Arial" w:hAnsi="Arial"/>
          <w:sz w:val="15"/>
          <w:szCs w:val="15"/>
          <w:color w:val="auto"/>
        </w:rPr>
        <w:t>Changes in existing accounting or taxation rules or practices, new accounting pronouncements or taxation rules, or varying interpretations of current accounting pronouncements or taxation practices could have a significant adverse effect on our results of operations or the way we conduct our business. Further, such changes could potentially affect our reporting of transactions completed before such changes are effective.</w:t>
      </w:r>
    </w:p>
    <w:p>
      <w:pPr>
        <w:spacing w:after="0" w:line="190" w:lineRule="exact"/>
        <w:rPr>
          <w:sz w:val="20"/>
          <w:szCs w:val="20"/>
          <w:color w:val="auto"/>
        </w:rPr>
      </w:pPr>
    </w:p>
    <w:p>
      <w:pPr>
        <w:ind w:right="160"/>
        <w:spacing w:after="0" w:line="279" w:lineRule="auto"/>
        <w:rPr>
          <w:sz w:val="20"/>
          <w:szCs w:val="20"/>
          <w:color w:val="auto"/>
        </w:rPr>
      </w:pPr>
      <w:r>
        <w:rPr>
          <w:rFonts w:ascii="Arial" w:cs="Arial" w:eastAsia="Arial" w:hAnsi="Arial"/>
          <w:sz w:val="15"/>
          <w:szCs w:val="15"/>
          <w:i w:val="1"/>
          <w:iCs w:val="1"/>
          <w:color w:val="auto"/>
        </w:rPr>
        <w:t>We are required to evaluate our internal control over financial reporting under Section 404 of the Sarbanes-Oxley Act of 2002 and any adverse results from such evaluation could result in a loss of investor confidence in our financial reports and have an adverse effect on our stock price.</w:t>
      </w:r>
    </w:p>
    <w:p>
      <w:pPr>
        <w:spacing w:after="0" w:line="179" w:lineRule="exact"/>
        <w:rPr>
          <w:sz w:val="20"/>
          <w:szCs w:val="20"/>
          <w:color w:val="auto"/>
        </w:rPr>
      </w:pPr>
    </w:p>
    <w:p>
      <w:pPr>
        <w:ind w:right="20" w:firstLine="351"/>
        <w:spacing w:after="0" w:line="249" w:lineRule="auto"/>
        <w:rPr>
          <w:sz w:val="20"/>
          <w:szCs w:val="20"/>
          <w:color w:val="auto"/>
        </w:rPr>
      </w:pPr>
      <w:r>
        <w:rPr>
          <w:rFonts w:ascii="Arial" w:cs="Arial" w:eastAsia="Arial" w:hAnsi="Arial"/>
          <w:sz w:val="15"/>
          <w:szCs w:val="15"/>
          <w:color w:val="auto"/>
        </w:rPr>
        <w:t>Pursuant to Section 404 of the Sarbanes-Oxley Act of 2002, we are required to furnish a report by our management on our internal control over financial reporting, including an assessment of the effectiveness of our internal control over financial reporting as of the end of our fiscal year. This assessment must include a statement as to whether or not our internal control over financial reporting is effective and disclosure of any material weaknesses in our internal control over financial reporting identified by management. If our management or independent registered public accounting firm identifies one or more material weaknesses in our internal control over financial reporting, we are unable to assert that our internal control over financial reporting is effective, or our independent registered public accounting firm is unable to express an opinion that our internal controls are effective, investors could lose confidence in the accuracy and completeness of our financial reports, which could have an adverse effect on our business and stock price.</w:t>
      </w:r>
    </w:p>
    <w:p>
      <w:pPr>
        <w:spacing w:after="0" w:line="194" w:lineRule="exact"/>
        <w:rPr>
          <w:sz w:val="20"/>
          <w:szCs w:val="20"/>
          <w:color w:val="auto"/>
        </w:rPr>
      </w:pPr>
    </w:p>
    <w:p>
      <w:pPr>
        <w:ind w:right="380"/>
        <w:spacing w:after="0" w:line="279" w:lineRule="auto"/>
        <w:rPr>
          <w:sz w:val="20"/>
          <w:szCs w:val="20"/>
          <w:color w:val="auto"/>
        </w:rPr>
      </w:pPr>
      <w:r>
        <w:rPr>
          <w:rFonts w:ascii="Arial" w:cs="Arial" w:eastAsia="Arial" w:hAnsi="Arial"/>
          <w:sz w:val="15"/>
          <w:szCs w:val="15"/>
          <w:i w:val="1"/>
          <w:iCs w:val="1"/>
          <w:color w:val="auto"/>
        </w:rPr>
        <w:t>In preparing our financial statements we make certain assumptions, judgments, and estimates that affect amounts reported in our consolidated financial statements which, if not accurate, may significantly impact our financial results.</w:t>
      </w:r>
    </w:p>
    <w:p>
      <w:pPr>
        <w:spacing w:after="0" w:line="179" w:lineRule="exact"/>
        <w:rPr>
          <w:sz w:val="20"/>
          <w:szCs w:val="20"/>
          <w:color w:val="auto"/>
        </w:rPr>
      </w:pPr>
    </w:p>
    <w:p>
      <w:pPr>
        <w:ind w:right="100" w:firstLine="351"/>
        <w:spacing w:after="0" w:line="248" w:lineRule="auto"/>
        <w:rPr>
          <w:sz w:val="20"/>
          <w:szCs w:val="20"/>
          <w:color w:val="auto"/>
        </w:rPr>
      </w:pPr>
      <w:r>
        <w:rPr>
          <w:rFonts w:ascii="Arial" w:cs="Arial" w:eastAsia="Arial" w:hAnsi="Arial"/>
          <w:sz w:val="15"/>
          <w:szCs w:val="15"/>
          <w:color w:val="auto"/>
        </w:rPr>
        <w:t>We make assumptions, judgments, and estimates for a number of items, including revenue recognition for product subscriptions and enterprise business arrangements (“EBAs”), the determination of the fair value of acquired assets and liabilities, goodwill, financial instruments including strategic investments, long-lived assets, and intangible assets, the realizability of deferred tax assets, and the fair value of stock awards. We also make assumptions, judgments, and estimates in determining the accruals for uncertain tax positions, variable compensation, partner incentive programs, product returns reserves, allowances for credit losses, asset retirement obligations, legal contingencies, and operating lease liabilities. These assumptions, judgments, and estimates are drawn from historical experience and various other factors that we believe are reasonable under the circumstances as of the date of the consolidated financial statements. Actual results could differ materially from our estimates, and such differences could significantly impact our financial results.</w:t>
      </w:r>
    </w:p>
    <w:p>
      <w:pPr>
        <w:spacing w:after="0" w:line="373" w:lineRule="exact"/>
        <w:rPr>
          <w:sz w:val="20"/>
          <w:szCs w:val="20"/>
          <w:color w:val="auto"/>
        </w:rPr>
      </w:pPr>
    </w:p>
    <w:p>
      <w:pPr>
        <w:spacing w:after="0"/>
        <w:tabs>
          <w:tab w:leader="none" w:pos="1080" w:val="left"/>
        </w:tabs>
        <w:rPr>
          <w:sz w:val="20"/>
          <w:szCs w:val="20"/>
          <w:color w:val="auto"/>
        </w:rPr>
      </w:pPr>
      <w:r>
        <w:rPr>
          <w:rFonts w:ascii="Arial" w:cs="Arial" w:eastAsia="Arial" w:hAnsi="Arial"/>
          <w:sz w:val="15"/>
          <w:szCs w:val="15"/>
          <w:b w:val="1"/>
          <w:bCs w:val="1"/>
          <w:color w:val="auto"/>
        </w:rPr>
        <w:t>ITEM 2.</w:t>
      </w:r>
      <w:r>
        <w:rPr>
          <w:sz w:val="20"/>
          <w:szCs w:val="20"/>
          <w:color w:val="auto"/>
        </w:rPr>
        <w:tab/>
      </w:r>
      <w:r>
        <w:rPr>
          <w:rFonts w:ascii="Arial" w:cs="Arial" w:eastAsia="Arial" w:hAnsi="Arial"/>
          <w:sz w:val="15"/>
          <w:szCs w:val="15"/>
          <w:b w:val="1"/>
          <w:bCs w:val="1"/>
          <w:color w:val="auto"/>
        </w:rPr>
        <w:t>UNREGISTERED SALES OF EQUITY SECURITIES AND USE OF PROCEEDS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There were no sales of unregistered securities during the three months ended April 30, 2023.</w:t>
      </w:r>
    </w:p>
    <w:p>
      <w:pPr>
        <w:spacing w:after="0" w:line="214" w:lineRule="exact"/>
        <w:rPr>
          <w:sz w:val="20"/>
          <w:szCs w:val="20"/>
          <w:color w:val="auto"/>
        </w:rPr>
      </w:pPr>
    </w:p>
    <w:p>
      <w:pPr>
        <w:jc w:val="both"/>
        <w:ind w:right="140" w:firstLine="387"/>
        <w:spacing w:after="0" w:line="241" w:lineRule="auto"/>
        <w:rPr>
          <w:sz w:val="20"/>
          <w:szCs w:val="20"/>
          <w:color w:val="auto"/>
        </w:rPr>
      </w:pPr>
      <w:r>
        <w:rPr>
          <w:rFonts w:ascii="Arial" w:cs="Arial" w:eastAsia="Arial" w:hAnsi="Arial"/>
          <w:sz w:val="15"/>
          <w:szCs w:val="15"/>
          <w:color w:val="auto"/>
        </w:rPr>
        <w:t>The information concerning issuer purchases of equity securities required by this Item is incorporated by reference herein to the section of this Report entitled "Issuer Purchases of Equity Securities" in Part I, Item 2, “Management's Discussion and Analysis of Financial Condition and Results of Operations,” above.</w:t>
      </w:r>
    </w:p>
    <w:p>
      <w:pPr>
        <w:spacing w:after="0" w:line="187" w:lineRule="exact"/>
        <w:rPr>
          <w:sz w:val="20"/>
          <w:szCs w:val="20"/>
          <w:color w:val="auto"/>
        </w:rPr>
      </w:pPr>
    </w:p>
    <w:p>
      <w:pPr>
        <w:spacing w:after="0"/>
        <w:tabs>
          <w:tab w:leader="none" w:pos="1080" w:val="left"/>
        </w:tabs>
        <w:rPr>
          <w:sz w:val="20"/>
          <w:szCs w:val="20"/>
          <w:color w:val="auto"/>
        </w:rPr>
      </w:pPr>
      <w:r>
        <w:rPr>
          <w:rFonts w:ascii="Arial" w:cs="Arial" w:eastAsia="Arial" w:hAnsi="Arial"/>
          <w:sz w:val="15"/>
          <w:szCs w:val="15"/>
          <w:b w:val="1"/>
          <w:bCs w:val="1"/>
          <w:color w:val="auto"/>
        </w:rPr>
        <w:t>ITEM 3.</w:t>
      </w:r>
      <w:r>
        <w:rPr>
          <w:sz w:val="20"/>
          <w:szCs w:val="20"/>
          <w:color w:val="auto"/>
        </w:rPr>
        <w:tab/>
      </w:r>
      <w:r>
        <w:rPr>
          <w:rFonts w:ascii="Arial" w:cs="Arial" w:eastAsia="Arial" w:hAnsi="Arial"/>
          <w:sz w:val="15"/>
          <w:szCs w:val="15"/>
          <w:b w:val="1"/>
          <w:bCs w:val="1"/>
          <w:color w:val="auto"/>
        </w:rPr>
        <w:t>DEFAULTS UPON SENIOR SECURITIES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Not applicable.</w:t>
      </w: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Arial" w:cs="Arial" w:eastAsia="Arial" w:hAnsi="Arial"/>
          <w:sz w:val="15"/>
          <w:szCs w:val="15"/>
          <w:color w:val="auto"/>
        </w:rPr>
        <w:t>67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580"/>
          </w:cols>
          <w:pgMar w:left="660" w:top="1230" w:right="660" w:bottom="1440" w:gutter="0" w:footer="0" w:header="0"/>
        </w:sectPr>
      </w:pPr>
    </w:p>
    <w:bookmarkStart w:id="67" w:name="page68"/>
    <w:bookmarkEnd w:id="67"/>
    <w:p>
      <w:pPr>
        <w:spacing w:after="0"/>
        <w:tabs>
          <w:tab w:leader="none" w:pos="1080" w:val="left"/>
        </w:tabs>
        <w:rPr>
          <w:sz w:val="20"/>
          <w:szCs w:val="20"/>
          <w:color w:val="auto"/>
        </w:rPr>
      </w:pPr>
      <w:r>
        <w:rPr>
          <w:rFonts w:ascii="Arial" w:cs="Arial" w:eastAsia="Arial" w:hAnsi="Arial"/>
          <w:sz w:val="15"/>
          <w:szCs w:val="15"/>
          <w:b w:val="1"/>
          <w:bCs w:val="1"/>
          <w:color w:val="auto"/>
        </w:rPr>
        <w:t>ITEM 4.</w:t>
      </w:r>
      <w:r>
        <w:rPr>
          <w:sz w:val="20"/>
          <w:szCs w:val="20"/>
          <w:color w:val="auto"/>
        </w:rPr>
        <w:tab/>
      </w:r>
      <w:r>
        <w:rPr>
          <w:rFonts w:ascii="Arial" w:cs="Arial" w:eastAsia="Arial" w:hAnsi="Arial"/>
          <w:sz w:val="15"/>
          <w:szCs w:val="15"/>
          <w:b w:val="1"/>
          <w:bCs w:val="1"/>
          <w:color w:val="auto"/>
        </w:rPr>
        <w:t>MINE SAFETY DISCLOSURES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Not applicable.</w:t>
      </w:r>
    </w:p>
    <w:p>
      <w:pPr>
        <w:spacing w:after="0" w:line="218" w:lineRule="exact"/>
        <w:rPr>
          <w:sz w:val="20"/>
          <w:szCs w:val="20"/>
          <w:color w:val="auto"/>
        </w:rPr>
      </w:pPr>
    </w:p>
    <w:p>
      <w:pPr>
        <w:spacing w:after="0"/>
        <w:tabs>
          <w:tab w:leader="none" w:pos="1080" w:val="left"/>
        </w:tabs>
        <w:rPr>
          <w:sz w:val="20"/>
          <w:szCs w:val="20"/>
          <w:color w:val="auto"/>
        </w:rPr>
      </w:pPr>
      <w:r>
        <w:rPr>
          <w:rFonts w:ascii="Arial" w:cs="Arial" w:eastAsia="Arial" w:hAnsi="Arial"/>
          <w:sz w:val="15"/>
          <w:szCs w:val="15"/>
          <w:b w:val="1"/>
          <w:bCs w:val="1"/>
          <w:color w:val="auto"/>
        </w:rPr>
        <w:t>ITEM 5.</w:t>
      </w:r>
      <w:r>
        <w:rPr>
          <w:sz w:val="20"/>
          <w:szCs w:val="20"/>
          <w:color w:val="auto"/>
        </w:rPr>
        <w:tab/>
      </w:r>
      <w:r>
        <w:rPr>
          <w:rFonts w:ascii="Arial" w:cs="Arial" w:eastAsia="Arial" w:hAnsi="Arial"/>
          <w:sz w:val="15"/>
          <w:szCs w:val="15"/>
          <w:b w:val="1"/>
          <w:bCs w:val="1"/>
          <w:color w:val="auto"/>
        </w:rPr>
        <w:t>OTHER INFORMATION</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None.</w:t>
      </w:r>
    </w:p>
    <w:p>
      <w:pPr>
        <w:spacing w:after="0" w:line="218" w:lineRule="exact"/>
        <w:rPr>
          <w:sz w:val="20"/>
          <w:szCs w:val="20"/>
          <w:color w:val="auto"/>
        </w:rPr>
      </w:pPr>
    </w:p>
    <w:p>
      <w:pPr>
        <w:spacing w:after="0"/>
        <w:tabs>
          <w:tab w:leader="none" w:pos="1080" w:val="left"/>
        </w:tabs>
        <w:rPr>
          <w:sz w:val="20"/>
          <w:szCs w:val="20"/>
          <w:color w:val="auto"/>
        </w:rPr>
      </w:pPr>
      <w:r>
        <w:rPr>
          <w:rFonts w:ascii="Arial" w:cs="Arial" w:eastAsia="Arial" w:hAnsi="Arial"/>
          <w:sz w:val="15"/>
          <w:szCs w:val="15"/>
          <w:b w:val="1"/>
          <w:bCs w:val="1"/>
          <w:color w:val="auto"/>
        </w:rPr>
        <w:t>ITEM 6.</w:t>
      </w:r>
      <w:r>
        <w:rPr>
          <w:sz w:val="20"/>
          <w:szCs w:val="20"/>
          <w:color w:val="auto"/>
        </w:rPr>
        <w:tab/>
      </w:r>
      <w:r>
        <w:rPr>
          <w:rFonts w:ascii="Arial" w:cs="Arial" w:eastAsia="Arial" w:hAnsi="Arial"/>
          <w:sz w:val="15"/>
          <w:szCs w:val="15"/>
          <w:b w:val="1"/>
          <w:bCs w:val="1"/>
          <w:color w:val="auto"/>
        </w:rPr>
        <w:t>EXHIBITS</w:t>
      </w:r>
    </w:p>
    <w:p>
      <w:pPr>
        <w:spacing w:after="0" w:line="234" w:lineRule="exact"/>
        <w:rPr>
          <w:sz w:val="20"/>
          <w:szCs w:val="20"/>
          <w:color w:val="auto"/>
        </w:rPr>
      </w:pPr>
    </w:p>
    <w:p>
      <w:pPr>
        <w:ind w:left="400"/>
        <w:spacing w:after="0"/>
        <w:rPr>
          <w:sz w:val="20"/>
          <w:szCs w:val="20"/>
          <w:color w:val="auto"/>
        </w:rPr>
      </w:pPr>
      <w:r>
        <w:rPr>
          <w:rFonts w:ascii="Arial" w:cs="Arial" w:eastAsia="Arial" w:hAnsi="Arial"/>
          <w:sz w:val="15"/>
          <w:szCs w:val="15"/>
          <w:color w:val="auto"/>
        </w:rPr>
        <w:t>The Exhibits listed below are filed or incorporated by reference as part of this Form 10-Q.</w:t>
      </w:r>
    </w:p>
    <w:p>
      <w:pPr>
        <w:spacing w:after="0" w:line="260"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1480" w:type="dxa"/>
            <w:vAlign w:val="bottom"/>
            <w:gridSpan w:val="2"/>
          </w:tcPr>
          <w:p>
            <w:pPr>
              <w:spacing w:after="0"/>
              <w:rPr>
                <w:sz w:val="20"/>
                <w:szCs w:val="20"/>
                <w:color w:val="auto"/>
              </w:rPr>
            </w:pPr>
            <w:r>
              <w:rPr>
                <w:rFonts w:ascii="Arial" w:cs="Arial" w:eastAsia="Arial" w:hAnsi="Arial"/>
                <w:sz w:val="13"/>
                <w:szCs w:val="13"/>
                <w:b w:val="1"/>
                <w:bCs w:val="1"/>
                <w:color w:val="auto"/>
              </w:rPr>
              <w:t>Exhibit No.</w:t>
            </w:r>
          </w:p>
        </w:tc>
        <w:tc>
          <w:tcPr>
            <w:tcW w:w="2000" w:type="dxa"/>
            <w:vAlign w:val="bottom"/>
          </w:tcPr>
          <w:p>
            <w:pPr>
              <w:spacing w:after="0"/>
              <w:rPr>
                <w:sz w:val="14"/>
                <w:szCs w:val="14"/>
                <w:color w:val="auto"/>
              </w:rPr>
            </w:pPr>
          </w:p>
        </w:tc>
        <w:tc>
          <w:tcPr>
            <w:tcW w:w="6820" w:type="dxa"/>
            <w:vAlign w:val="bottom"/>
            <w:gridSpan w:val="4"/>
          </w:tcPr>
          <w:p>
            <w:pPr>
              <w:ind w:left="2100"/>
              <w:spacing w:after="0"/>
              <w:rPr>
                <w:sz w:val="20"/>
                <w:szCs w:val="20"/>
                <w:color w:val="auto"/>
              </w:rPr>
            </w:pPr>
            <w:r>
              <w:rPr>
                <w:rFonts w:ascii="Arial" w:cs="Arial" w:eastAsia="Arial" w:hAnsi="Arial"/>
                <w:sz w:val="14"/>
                <w:szCs w:val="14"/>
                <w:color w:val="auto"/>
              </w:rPr>
              <w:t>Description</w:t>
            </w:r>
          </w:p>
        </w:tc>
      </w:tr>
      <w:tr>
        <w:trPr>
          <w:trHeight w:val="167"/>
        </w:trPr>
        <w:tc>
          <w:tcPr>
            <w:tcW w:w="680" w:type="dxa"/>
            <w:vAlign w:val="bottom"/>
            <w:tcBorders>
              <w:top w:val="single" w:sz="8" w:color="auto"/>
            </w:tcBorders>
          </w:tcPr>
          <w:p>
            <w:pPr>
              <w:spacing w:after="0"/>
              <w:rPr>
                <w:sz w:val="20"/>
                <w:szCs w:val="20"/>
                <w:color w:val="auto"/>
              </w:rPr>
            </w:pPr>
            <w:r>
              <w:rPr>
                <w:rFonts w:ascii="Arial" w:cs="Arial" w:eastAsia="Arial" w:hAnsi="Arial"/>
                <w:sz w:val="14"/>
                <w:szCs w:val="14"/>
                <w:color w:val="auto"/>
              </w:rPr>
              <w:t>31.1</w:t>
            </w:r>
          </w:p>
        </w:tc>
        <w:tc>
          <w:tcPr>
            <w:tcW w:w="800" w:type="dxa"/>
            <w:vAlign w:val="bottom"/>
          </w:tcPr>
          <w:p>
            <w:pPr>
              <w:spacing w:after="0"/>
              <w:rPr>
                <w:sz w:val="14"/>
                <w:szCs w:val="14"/>
                <w:color w:val="auto"/>
              </w:rPr>
            </w:pPr>
          </w:p>
        </w:tc>
        <w:tc>
          <w:tcPr>
            <w:tcW w:w="8820" w:type="dxa"/>
            <w:vAlign w:val="bottom"/>
            <w:gridSpan w:val="5"/>
          </w:tcPr>
          <w:p>
            <w:pPr>
              <w:spacing w:after="0"/>
              <w:rPr>
                <w:rFonts w:ascii="Arial" w:cs="Arial" w:eastAsia="Arial" w:hAnsi="Arial"/>
                <w:sz w:val="14"/>
                <w:szCs w:val="14"/>
                <w:color w:val="0000FF"/>
              </w:rPr>
            </w:pPr>
            <w:hyperlink w:anchor="page1">
              <w:r>
                <w:rPr>
                  <w:rFonts w:ascii="Arial" w:cs="Arial" w:eastAsia="Arial" w:hAnsi="Arial"/>
                  <w:sz w:val="14"/>
                  <w:szCs w:val="14"/>
                  <w:color w:val="0000FF"/>
                </w:rPr>
                <w:t>Certification of Chief Executive Officer pursuant to Rule 13a-14(a) of the Securities Exchange Act of 193</w:t>
              </w:r>
            </w:hyperlink>
            <w:r>
              <w:rPr>
                <w:rFonts w:ascii="Arial" w:cs="Arial" w:eastAsia="Arial" w:hAnsi="Arial"/>
                <w:sz w:val="14"/>
                <w:szCs w:val="14"/>
                <w:color w:val="0000FF"/>
              </w:rPr>
              <w:t>4</w:t>
            </w:r>
          </w:p>
        </w:tc>
      </w:tr>
      <w:tr>
        <w:trPr>
          <w:trHeight w:val="261"/>
        </w:trPr>
        <w:tc>
          <w:tcPr>
            <w:tcW w:w="680" w:type="dxa"/>
            <w:vAlign w:val="bottom"/>
          </w:tcPr>
          <w:p>
            <w:pPr>
              <w:spacing w:after="0"/>
              <w:rPr>
                <w:sz w:val="20"/>
                <w:szCs w:val="20"/>
                <w:color w:val="auto"/>
              </w:rPr>
            </w:pPr>
            <w:r>
              <w:rPr>
                <w:rFonts w:ascii="Arial" w:cs="Arial" w:eastAsia="Arial" w:hAnsi="Arial"/>
                <w:sz w:val="14"/>
                <w:szCs w:val="14"/>
                <w:color w:val="auto"/>
              </w:rPr>
              <w:t>31.2</w:t>
            </w:r>
          </w:p>
        </w:tc>
        <w:tc>
          <w:tcPr>
            <w:tcW w:w="800" w:type="dxa"/>
            <w:vAlign w:val="bottom"/>
          </w:tcPr>
          <w:p>
            <w:pPr>
              <w:spacing w:after="0"/>
              <w:rPr>
                <w:sz w:val="22"/>
                <w:szCs w:val="22"/>
                <w:color w:val="auto"/>
              </w:rPr>
            </w:pPr>
          </w:p>
        </w:tc>
        <w:tc>
          <w:tcPr>
            <w:tcW w:w="6500" w:type="dxa"/>
            <w:vAlign w:val="bottom"/>
            <w:tcBorders>
              <w:top w:val="single" w:sz="8" w:color="0000FF"/>
            </w:tcBorders>
            <w:gridSpan w:val="3"/>
          </w:tcPr>
          <w:p>
            <w:pPr>
              <w:spacing w:after="0"/>
              <w:rPr>
                <w:rFonts w:ascii="Arial" w:cs="Arial" w:eastAsia="Arial" w:hAnsi="Arial"/>
                <w:sz w:val="14"/>
                <w:szCs w:val="14"/>
                <w:color w:val="0000FF"/>
              </w:rPr>
            </w:pPr>
            <w:hyperlink w:anchor="page1">
              <w:r>
                <w:rPr>
                  <w:rFonts w:ascii="Arial" w:cs="Arial" w:eastAsia="Arial" w:hAnsi="Arial"/>
                  <w:sz w:val="14"/>
                  <w:szCs w:val="14"/>
                  <w:color w:val="0000FF"/>
                </w:rPr>
                <w:t>Certification of Chief Financial Officer pursuant to Rule 13a-14(a) of the Securities Exchange Act of 193</w:t>
              </w:r>
            </w:hyperlink>
            <w:r>
              <w:rPr>
                <w:rFonts w:ascii="Arial" w:cs="Arial" w:eastAsia="Arial" w:hAnsi="Arial"/>
                <w:sz w:val="14"/>
                <w:szCs w:val="14"/>
                <w:color w:val="0000FF"/>
              </w:rPr>
              <w:t>4</w:t>
            </w:r>
          </w:p>
        </w:tc>
        <w:tc>
          <w:tcPr>
            <w:tcW w:w="2320" w:type="dxa"/>
            <w:vAlign w:val="bottom"/>
            <w:gridSpan w:val="2"/>
          </w:tcPr>
          <w:p>
            <w:pPr>
              <w:spacing w:after="0"/>
              <w:rPr>
                <w:sz w:val="22"/>
                <w:szCs w:val="22"/>
                <w:color w:val="auto"/>
              </w:rPr>
            </w:pPr>
          </w:p>
        </w:tc>
      </w:tr>
      <w:tr>
        <w:trPr>
          <w:trHeight w:val="20"/>
        </w:trPr>
        <w:tc>
          <w:tcPr>
            <w:tcW w:w="1480" w:type="dxa"/>
            <w:vAlign w:val="bottom"/>
            <w:gridSpan w:val="2"/>
          </w:tcPr>
          <w:p>
            <w:pPr>
              <w:spacing w:after="0" w:line="20" w:lineRule="exact"/>
              <w:rPr>
                <w:sz w:val="1"/>
                <w:szCs w:val="1"/>
                <w:color w:val="auto"/>
              </w:rPr>
            </w:pPr>
          </w:p>
        </w:tc>
        <w:tc>
          <w:tcPr>
            <w:tcW w:w="2000" w:type="dxa"/>
            <w:vAlign w:val="bottom"/>
            <w:shd w:val="clear" w:color="auto" w:fill="0000FF"/>
          </w:tcPr>
          <w:p>
            <w:pPr>
              <w:spacing w:after="0" w:line="20" w:lineRule="exact"/>
              <w:rPr>
                <w:sz w:val="1"/>
                <w:szCs w:val="1"/>
                <w:color w:val="auto"/>
              </w:rPr>
            </w:pPr>
          </w:p>
        </w:tc>
        <w:tc>
          <w:tcPr>
            <w:tcW w:w="4440" w:type="dxa"/>
            <w:vAlign w:val="bottom"/>
            <w:shd w:val="clear" w:color="auto" w:fill="0000FF"/>
          </w:tcPr>
          <w:p>
            <w:pPr>
              <w:spacing w:after="0" w:line="20" w:lineRule="exact"/>
              <w:rPr>
                <w:sz w:val="1"/>
                <w:szCs w:val="1"/>
                <w:color w:val="auto"/>
              </w:rPr>
            </w:pPr>
          </w:p>
        </w:tc>
        <w:tc>
          <w:tcPr>
            <w:tcW w:w="232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r>
        <w:trPr>
          <w:trHeight w:val="261"/>
        </w:trPr>
        <w:tc>
          <w:tcPr>
            <w:tcW w:w="1480" w:type="dxa"/>
            <w:vAlign w:val="bottom"/>
            <w:gridSpan w:val="2"/>
          </w:tcPr>
          <w:p>
            <w:pPr>
              <w:spacing w:after="0"/>
              <w:rPr>
                <w:sz w:val="20"/>
                <w:szCs w:val="20"/>
                <w:color w:val="auto"/>
              </w:rPr>
            </w:pPr>
            <w:r>
              <w:rPr>
                <w:rFonts w:ascii="Arial" w:cs="Arial" w:eastAsia="Arial" w:hAnsi="Arial"/>
                <w:sz w:val="14"/>
                <w:szCs w:val="14"/>
                <w:color w:val="auto"/>
              </w:rPr>
              <w:t>32.1 †</w:t>
            </w:r>
          </w:p>
        </w:tc>
        <w:tc>
          <w:tcPr>
            <w:tcW w:w="8820" w:type="dxa"/>
            <w:vAlign w:val="bottom"/>
            <w:gridSpan w:val="5"/>
          </w:tcPr>
          <w:p>
            <w:pPr>
              <w:spacing w:after="0"/>
              <w:rPr>
                <w:rFonts w:ascii="Arial" w:cs="Arial" w:eastAsia="Arial" w:hAnsi="Arial"/>
                <w:sz w:val="14"/>
                <w:szCs w:val="14"/>
                <w:color w:val="0000FF"/>
              </w:rPr>
            </w:pPr>
            <w:hyperlink w:anchor="page1">
              <w:r>
                <w:rPr>
                  <w:rFonts w:ascii="Arial" w:cs="Arial" w:eastAsia="Arial" w:hAnsi="Arial"/>
                  <w:sz w:val="14"/>
                  <w:szCs w:val="14"/>
                  <w:color w:val="0000FF"/>
                </w:rPr>
                <w:t>Certification of Chief Executive Officer and Chief Financial Officer pursuant to 18 U.S.C. Section 1350, as adopted pursuant to Section 906 of</w:t>
              </w:r>
            </w:hyperlink>
          </w:p>
        </w:tc>
      </w:tr>
      <w:tr>
        <w:trPr>
          <w:trHeight w:val="121"/>
        </w:trPr>
        <w:tc>
          <w:tcPr>
            <w:tcW w:w="680" w:type="dxa"/>
            <w:vAlign w:val="bottom"/>
          </w:tcPr>
          <w:p>
            <w:pPr>
              <w:spacing w:after="0"/>
              <w:rPr>
                <w:sz w:val="10"/>
                <w:szCs w:val="10"/>
                <w:color w:val="auto"/>
              </w:rPr>
            </w:pPr>
          </w:p>
        </w:tc>
        <w:tc>
          <w:tcPr>
            <w:tcW w:w="800" w:type="dxa"/>
            <w:vAlign w:val="bottom"/>
          </w:tcPr>
          <w:p>
            <w:pPr>
              <w:spacing w:after="0"/>
              <w:rPr>
                <w:sz w:val="10"/>
                <w:szCs w:val="10"/>
                <w:color w:val="auto"/>
              </w:rPr>
            </w:pPr>
          </w:p>
        </w:tc>
        <w:tc>
          <w:tcPr>
            <w:tcW w:w="2000" w:type="dxa"/>
            <w:vAlign w:val="bottom"/>
            <w:tcBorders>
              <w:top w:val="single" w:sz="8" w:color="0000FF"/>
              <w:bottom w:val="single" w:sz="8" w:color="0000FF"/>
            </w:tcBorders>
          </w:tcPr>
          <w:p>
            <w:pPr>
              <w:spacing w:after="0" w:line="121" w:lineRule="exact"/>
              <w:rPr>
                <w:rFonts w:ascii="Arial" w:cs="Arial" w:eastAsia="Arial" w:hAnsi="Arial"/>
                <w:sz w:val="13"/>
                <w:szCs w:val="13"/>
                <w:color w:val="0000FF"/>
              </w:rPr>
            </w:pPr>
            <w:hyperlink w:anchor="page1">
              <w:r>
                <w:rPr>
                  <w:rFonts w:ascii="Arial" w:cs="Arial" w:eastAsia="Arial" w:hAnsi="Arial"/>
                  <w:sz w:val="13"/>
                  <w:szCs w:val="13"/>
                  <w:color w:val="0000FF"/>
                </w:rPr>
                <w:t>the Sarbanes-Oxley Act of 2002</w:t>
              </w:r>
            </w:hyperlink>
          </w:p>
        </w:tc>
        <w:tc>
          <w:tcPr>
            <w:tcW w:w="6760" w:type="dxa"/>
            <w:vAlign w:val="bottom"/>
            <w:tcBorders>
              <w:top w:val="single" w:sz="8" w:color="0000FF"/>
            </w:tcBorders>
            <w:gridSpan w:val="3"/>
          </w:tcPr>
          <w:p>
            <w:pPr>
              <w:spacing w:after="0"/>
              <w:rPr>
                <w:sz w:val="10"/>
                <w:szCs w:val="10"/>
                <w:color w:val="auto"/>
              </w:rPr>
            </w:pPr>
          </w:p>
        </w:tc>
        <w:tc>
          <w:tcPr>
            <w:tcW w:w="60" w:type="dxa"/>
            <w:vAlign w:val="bottom"/>
          </w:tcPr>
          <w:p>
            <w:pPr>
              <w:spacing w:after="0"/>
              <w:rPr>
                <w:sz w:val="10"/>
                <w:szCs w:val="10"/>
                <w:color w:val="auto"/>
              </w:rPr>
            </w:pPr>
          </w:p>
        </w:tc>
      </w:tr>
      <w:tr>
        <w:trPr>
          <w:trHeight w:val="206"/>
        </w:trPr>
        <w:tc>
          <w:tcPr>
            <w:tcW w:w="1480" w:type="dxa"/>
            <w:vAlign w:val="bottom"/>
            <w:gridSpan w:val="2"/>
          </w:tcPr>
          <w:p>
            <w:pPr>
              <w:spacing w:after="0"/>
              <w:rPr>
                <w:sz w:val="20"/>
                <w:szCs w:val="20"/>
                <w:color w:val="auto"/>
              </w:rPr>
            </w:pPr>
            <w:r>
              <w:rPr>
                <w:rFonts w:ascii="Arial" w:cs="Arial" w:eastAsia="Arial" w:hAnsi="Arial"/>
                <w:sz w:val="14"/>
                <w:szCs w:val="14"/>
                <w:color w:val="auto"/>
              </w:rPr>
              <w:t>101.INS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Instance Document - the instance document does not appear in the Interactive Data File because its XBRL tags are embedded</w:t>
            </w:r>
          </w:p>
        </w:tc>
      </w:tr>
      <w:tr>
        <w:trPr>
          <w:trHeight w:val="179"/>
        </w:trPr>
        <w:tc>
          <w:tcPr>
            <w:tcW w:w="680" w:type="dxa"/>
            <w:vAlign w:val="bottom"/>
          </w:tcPr>
          <w:p>
            <w:pPr>
              <w:spacing w:after="0"/>
              <w:rPr>
                <w:sz w:val="15"/>
                <w:szCs w:val="15"/>
                <w:color w:val="auto"/>
              </w:rPr>
            </w:pPr>
          </w:p>
        </w:tc>
        <w:tc>
          <w:tcPr>
            <w:tcW w:w="800" w:type="dxa"/>
            <w:vAlign w:val="bottom"/>
          </w:tcPr>
          <w:p>
            <w:pPr>
              <w:spacing w:after="0"/>
              <w:rPr>
                <w:sz w:val="15"/>
                <w:szCs w:val="15"/>
                <w:color w:val="auto"/>
              </w:rPr>
            </w:pPr>
          </w:p>
        </w:tc>
        <w:tc>
          <w:tcPr>
            <w:tcW w:w="8820" w:type="dxa"/>
            <w:vAlign w:val="bottom"/>
            <w:gridSpan w:val="5"/>
          </w:tcPr>
          <w:p>
            <w:pPr>
              <w:spacing w:after="0"/>
              <w:rPr>
                <w:sz w:val="20"/>
                <w:szCs w:val="20"/>
                <w:color w:val="auto"/>
              </w:rPr>
            </w:pPr>
            <w:r>
              <w:rPr>
                <w:rFonts w:ascii="Arial" w:cs="Arial" w:eastAsia="Arial" w:hAnsi="Arial"/>
                <w:sz w:val="14"/>
                <w:szCs w:val="14"/>
                <w:color w:val="auto"/>
              </w:rPr>
              <w:t>within the Inline XBRL document</w:t>
            </w:r>
          </w:p>
        </w:tc>
      </w:tr>
      <w:tr>
        <w:trPr>
          <w:trHeight w:val="234"/>
        </w:trPr>
        <w:tc>
          <w:tcPr>
            <w:tcW w:w="1480" w:type="dxa"/>
            <w:vAlign w:val="bottom"/>
            <w:gridSpan w:val="2"/>
          </w:tcPr>
          <w:p>
            <w:pPr>
              <w:spacing w:after="0"/>
              <w:rPr>
                <w:sz w:val="20"/>
                <w:szCs w:val="20"/>
                <w:color w:val="auto"/>
              </w:rPr>
            </w:pPr>
            <w:r>
              <w:rPr>
                <w:rFonts w:ascii="Arial" w:cs="Arial" w:eastAsia="Arial" w:hAnsi="Arial"/>
                <w:sz w:val="14"/>
                <w:szCs w:val="14"/>
                <w:color w:val="auto"/>
              </w:rPr>
              <w:t>101.SCH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Taxonomy Extension Schema</w:t>
            </w:r>
          </w:p>
        </w:tc>
      </w:tr>
      <w:tr>
        <w:trPr>
          <w:trHeight w:val="234"/>
        </w:trPr>
        <w:tc>
          <w:tcPr>
            <w:tcW w:w="1480" w:type="dxa"/>
            <w:vAlign w:val="bottom"/>
            <w:gridSpan w:val="2"/>
          </w:tcPr>
          <w:p>
            <w:pPr>
              <w:spacing w:after="0"/>
              <w:rPr>
                <w:sz w:val="20"/>
                <w:szCs w:val="20"/>
                <w:color w:val="auto"/>
              </w:rPr>
            </w:pPr>
            <w:r>
              <w:rPr>
                <w:rFonts w:ascii="Arial" w:cs="Arial" w:eastAsia="Arial" w:hAnsi="Arial"/>
                <w:sz w:val="14"/>
                <w:szCs w:val="14"/>
                <w:color w:val="auto"/>
              </w:rPr>
              <w:t>101.CAL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Taxonomy Extension Calculation Linkbase</w:t>
            </w:r>
          </w:p>
        </w:tc>
      </w:tr>
      <w:tr>
        <w:trPr>
          <w:trHeight w:val="234"/>
        </w:trPr>
        <w:tc>
          <w:tcPr>
            <w:tcW w:w="1480" w:type="dxa"/>
            <w:vAlign w:val="bottom"/>
            <w:gridSpan w:val="2"/>
          </w:tcPr>
          <w:p>
            <w:pPr>
              <w:spacing w:after="0"/>
              <w:rPr>
                <w:sz w:val="20"/>
                <w:szCs w:val="20"/>
                <w:color w:val="auto"/>
              </w:rPr>
            </w:pPr>
            <w:r>
              <w:rPr>
                <w:rFonts w:ascii="Arial" w:cs="Arial" w:eastAsia="Arial" w:hAnsi="Arial"/>
                <w:sz w:val="14"/>
                <w:szCs w:val="14"/>
                <w:color w:val="auto"/>
              </w:rPr>
              <w:t>101.DEF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Taxonomy Definition Linkbase</w:t>
            </w:r>
          </w:p>
        </w:tc>
      </w:tr>
      <w:tr>
        <w:trPr>
          <w:trHeight w:val="234"/>
        </w:trPr>
        <w:tc>
          <w:tcPr>
            <w:tcW w:w="1480" w:type="dxa"/>
            <w:vAlign w:val="bottom"/>
            <w:gridSpan w:val="2"/>
          </w:tcPr>
          <w:p>
            <w:pPr>
              <w:spacing w:after="0"/>
              <w:rPr>
                <w:sz w:val="20"/>
                <w:szCs w:val="20"/>
                <w:color w:val="auto"/>
              </w:rPr>
            </w:pPr>
            <w:r>
              <w:rPr>
                <w:rFonts w:ascii="Arial" w:cs="Arial" w:eastAsia="Arial" w:hAnsi="Arial"/>
                <w:sz w:val="14"/>
                <w:szCs w:val="14"/>
                <w:color w:val="auto"/>
              </w:rPr>
              <w:t>101.LAB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Taxonomy Extension Label Linkbase</w:t>
            </w:r>
          </w:p>
        </w:tc>
      </w:tr>
      <w:tr>
        <w:trPr>
          <w:trHeight w:val="234"/>
        </w:trPr>
        <w:tc>
          <w:tcPr>
            <w:tcW w:w="1480" w:type="dxa"/>
            <w:vAlign w:val="bottom"/>
            <w:gridSpan w:val="2"/>
          </w:tcPr>
          <w:p>
            <w:pPr>
              <w:spacing w:after="0"/>
              <w:rPr>
                <w:sz w:val="20"/>
                <w:szCs w:val="20"/>
                <w:color w:val="auto"/>
              </w:rPr>
            </w:pPr>
            <w:r>
              <w:rPr>
                <w:rFonts w:ascii="Arial" w:cs="Arial" w:eastAsia="Arial" w:hAnsi="Arial"/>
                <w:sz w:val="14"/>
                <w:szCs w:val="14"/>
                <w:color w:val="auto"/>
              </w:rPr>
              <w:t>101.PRE ††</w:t>
            </w:r>
          </w:p>
        </w:tc>
        <w:tc>
          <w:tcPr>
            <w:tcW w:w="8820" w:type="dxa"/>
            <w:vAlign w:val="bottom"/>
            <w:gridSpan w:val="5"/>
          </w:tcPr>
          <w:p>
            <w:pPr>
              <w:spacing w:after="0"/>
              <w:rPr>
                <w:sz w:val="20"/>
                <w:szCs w:val="20"/>
                <w:color w:val="auto"/>
              </w:rPr>
            </w:pPr>
            <w:r>
              <w:rPr>
                <w:rFonts w:ascii="Arial" w:cs="Arial" w:eastAsia="Arial" w:hAnsi="Arial"/>
                <w:sz w:val="14"/>
                <w:szCs w:val="14"/>
                <w:color w:val="auto"/>
              </w:rPr>
              <w:t>Inline XBRL Taxonomy Extension Presentation Linkbase</w:t>
            </w:r>
          </w:p>
        </w:tc>
      </w:tr>
      <w:tr>
        <w:trPr>
          <w:trHeight w:val="253"/>
        </w:trPr>
        <w:tc>
          <w:tcPr>
            <w:tcW w:w="1480" w:type="dxa"/>
            <w:vAlign w:val="bottom"/>
            <w:gridSpan w:val="2"/>
          </w:tcPr>
          <w:p>
            <w:pPr>
              <w:spacing w:after="0"/>
              <w:rPr>
                <w:sz w:val="20"/>
                <w:szCs w:val="20"/>
                <w:color w:val="auto"/>
              </w:rPr>
            </w:pPr>
            <w:r>
              <w:rPr>
                <w:rFonts w:ascii="Arial" w:cs="Arial" w:eastAsia="Arial" w:hAnsi="Arial"/>
                <w:sz w:val="14"/>
                <w:szCs w:val="14"/>
                <w:color w:val="auto"/>
              </w:rPr>
              <w:t>104 ††</w:t>
            </w:r>
          </w:p>
        </w:tc>
        <w:tc>
          <w:tcPr>
            <w:tcW w:w="8820" w:type="dxa"/>
            <w:vAlign w:val="bottom"/>
            <w:gridSpan w:val="5"/>
          </w:tcPr>
          <w:p>
            <w:pPr>
              <w:spacing w:after="0"/>
              <w:rPr>
                <w:sz w:val="20"/>
                <w:szCs w:val="20"/>
                <w:color w:val="auto"/>
              </w:rPr>
            </w:pPr>
            <w:r>
              <w:rPr>
                <w:rFonts w:ascii="Arial" w:cs="Arial" w:eastAsia="Arial" w:hAnsi="Arial"/>
                <w:sz w:val="14"/>
                <w:szCs w:val="14"/>
                <w:color w:val="auto"/>
              </w:rPr>
              <w:t>Cover Page Interactive Data File - the cover page interactive date is embedded within the Inline XBRL document or included within the Exhibit</w:t>
            </w:r>
          </w:p>
        </w:tc>
      </w:tr>
    </w:tbl>
    <w:p>
      <w:pPr>
        <w:ind w:left="1780" w:hanging="277"/>
        <w:spacing w:after="0"/>
        <w:tabs>
          <w:tab w:leader="none" w:pos="1780" w:val="left"/>
        </w:tabs>
        <w:numPr>
          <w:ilvl w:val="1"/>
          <w:numId w:val="33"/>
        </w:numPr>
        <w:rPr>
          <w:rFonts w:ascii="Arial" w:cs="Arial" w:eastAsia="Arial" w:hAnsi="Arial"/>
          <w:sz w:val="14"/>
          <w:szCs w:val="14"/>
          <w:color w:val="auto"/>
        </w:rPr>
      </w:pPr>
      <w:r>
        <w:rPr>
          <w:rFonts w:ascii="Arial" w:cs="Arial" w:eastAsia="Arial" w:hAnsi="Arial"/>
          <w:sz w:val="14"/>
          <w:szCs w:val="14"/>
          <w:color w:val="auto"/>
        </w:rPr>
        <w:t>attachments</w:t>
      </w:r>
    </w:p>
    <w:p>
      <w:pPr>
        <w:spacing w:after="0" w:line="203" w:lineRule="exact"/>
        <w:rPr>
          <w:rFonts w:ascii="Arial" w:cs="Arial" w:eastAsia="Arial" w:hAnsi="Arial"/>
          <w:sz w:val="14"/>
          <w:szCs w:val="14"/>
          <w:color w:val="auto"/>
        </w:rPr>
      </w:pPr>
    </w:p>
    <w:p>
      <w:pPr>
        <w:ind w:left="20"/>
        <w:spacing w:after="0"/>
        <w:rPr>
          <w:rFonts w:ascii="Arial" w:cs="Arial" w:eastAsia="Arial" w:hAnsi="Arial"/>
          <w:sz w:val="14"/>
          <w:szCs w:val="14"/>
          <w:color w:val="auto"/>
        </w:rPr>
      </w:pPr>
      <w:r>
        <w:rPr>
          <w:rFonts w:ascii="Arial" w:cs="Arial" w:eastAsia="Arial" w:hAnsi="Arial"/>
          <w:sz w:val="14"/>
          <w:szCs w:val="14"/>
          <w:color w:val="auto"/>
        </w:rPr>
        <w:t>*Denotes a management contract or compensatory plan or arrangement.</w:t>
      </w:r>
    </w:p>
    <w:p>
      <w:pPr>
        <w:spacing w:after="0" w:line="26" w:lineRule="exact"/>
        <w:rPr>
          <w:sz w:val="20"/>
          <w:szCs w:val="20"/>
          <w:color w:val="auto"/>
        </w:rPr>
      </w:pPr>
    </w:p>
    <w:p>
      <w:pPr>
        <w:ind w:left="640" w:hanging="625"/>
        <w:spacing w:after="0" w:line="223" w:lineRule="auto"/>
        <w:tabs>
          <w:tab w:leader="none" w:pos="640" w:val="left"/>
        </w:tabs>
        <w:numPr>
          <w:ilvl w:val="0"/>
          <w:numId w:val="34"/>
        </w:numPr>
        <w:rPr>
          <w:rFonts w:ascii="Arial" w:cs="Arial" w:eastAsia="Arial" w:hAnsi="Arial"/>
          <w:sz w:val="14"/>
          <w:szCs w:val="14"/>
          <w:color w:val="auto"/>
        </w:rPr>
      </w:pPr>
      <w:r>
        <w:rPr>
          <w:rFonts w:ascii="Arial" w:cs="Arial" w:eastAsia="Arial" w:hAnsi="Arial"/>
          <w:sz w:val="14"/>
          <w:szCs w:val="14"/>
          <w:color w:val="auto"/>
        </w:rPr>
        <w:t>The certifications attached as Exhibit 32 that accompany this Quarterly Report on Form 10-Q are not deemed filed with the Securities and Exchange Commission and are not to be incorporated by reference into any filing of Autodesk, Inc. under the Securities Act of 1933, as amended, or the Securities Exchange Act of 1934, as amended, whether made before or after the date of this Form 10-Q, irrespective of any general incorporation language contained in such filing.</w:t>
      </w:r>
    </w:p>
    <w:p>
      <w:pPr>
        <w:spacing w:after="0" w:line="58" w:lineRule="exact"/>
        <w:rPr>
          <w:sz w:val="20"/>
          <w:szCs w:val="20"/>
          <w:color w:val="auto"/>
        </w:rPr>
      </w:pPr>
    </w:p>
    <w:p>
      <w:pPr>
        <w:ind w:left="640" w:hanging="625"/>
        <w:spacing w:after="0"/>
        <w:tabs>
          <w:tab w:leader="none" w:pos="640" w:val="left"/>
        </w:tabs>
        <w:numPr>
          <w:ilvl w:val="0"/>
          <w:numId w:val="35"/>
        </w:numPr>
        <w:rPr>
          <w:rFonts w:ascii="Arial" w:cs="Arial" w:eastAsia="Arial" w:hAnsi="Arial"/>
          <w:sz w:val="14"/>
          <w:szCs w:val="14"/>
          <w:color w:val="auto"/>
        </w:rPr>
      </w:pPr>
      <w:r>
        <w:rPr>
          <w:rFonts w:ascii="Arial" w:cs="Arial" w:eastAsia="Arial" w:hAnsi="Arial"/>
          <w:sz w:val="14"/>
          <w:szCs w:val="14"/>
          <w:color w:val="auto"/>
        </w:rPr>
        <w:t>The financial information contained in these XBRL documents is unaudited.</w:t>
      </w:r>
    </w:p>
    <w:p>
      <w:pPr>
        <w:spacing w:after="0" w:line="200" w:lineRule="exact"/>
        <w:rPr>
          <w:rFonts w:ascii="Arial" w:cs="Arial" w:eastAsia="Arial" w:hAnsi="Arial"/>
          <w:sz w:val="14"/>
          <w:szCs w:val="14"/>
          <w:color w:val="auto"/>
        </w:rPr>
      </w:pPr>
    </w:p>
    <w:p>
      <w:pPr>
        <w:spacing w:after="0" w:line="200" w:lineRule="exact"/>
        <w:rPr>
          <w:rFonts w:ascii="Arial" w:cs="Arial" w:eastAsia="Arial" w:hAnsi="Arial"/>
          <w:sz w:val="14"/>
          <w:szCs w:val="14"/>
          <w:color w:val="auto"/>
        </w:rPr>
      </w:pPr>
    </w:p>
    <w:p>
      <w:pPr>
        <w:spacing w:after="0" w:line="200" w:lineRule="exact"/>
        <w:rPr>
          <w:rFonts w:ascii="Arial" w:cs="Arial" w:eastAsia="Arial" w:hAnsi="Arial"/>
          <w:sz w:val="14"/>
          <w:szCs w:val="14"/>
          <w:color w:val="auto"/>
        </w:rPr>
      </w:pPr>
    </w:p>
    <w:p>
      <w:pPr>
        <w:spacing w:after="0" w:line="200" w:lineRule="exact"/>
        <w:rPr>
          <w:rFonts w:ascii="Arial" w:cs="Arial" w:eastAsia="Arial" w:hAnsi="Arial"/>
          <w:sz w:val="14"/>
          <w:szCs w:val="14"/>
          <w:color w:val="auto"/>
        </w:rPr>
      </w:pPr>
    </w:p>
    <w:p>
      <w:pPr>
        <w:ind w:left="5200"/>
        <w:spacing w:after="0"/>
        <w:rPr>
          <w:rFonts w:ascii="Arial" w:cs="Arial" w:eastAsia="Arial" w:hAnsi="Arial"/>
          <w:sz w:val="14"/>
          <w:szCs w:val="14"/>
          <w:color w:val="auto"/>
        </w:rPr>
      </w:pPr>
      <w:r>
        <w:rPr>
          <w:rFonts w:ascii="Arial" w:cs="Arial" w:eastAsia="Arial" w:hAnsi="Arial"/>
          <w:sz w:val="15"/>
          <w:szCs w:val="15"/>
          <w:color w:val="auto"/>
        </w:rPr>
        <w:t>68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-9525</wp:posOffset>
            </wp:positionH>
            <wp:positionV relativeFrom="paragraph">
              <wp:posOffset>53340</wp:posOffset>
            </wp:positionV>
            <wp:extent cx="6736080" cy="4000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6736080" cy="40005"/>
                    </a:xfrm>
                    <a:prstGeom prst="rect">
                      <a:avLst/>
                    </a:prstGeom>
                    <a:noFill/>
                  </pic:spPr>
                </pic:pic>
              </a:graphicData>
            </a:graphic>
          </wp:anchor>
        </w:drawing>
      </w:r>
    </w:p>
    <w:p>
      <w:pPr>
        <w:sectPr>
          <w:pgSz w:w="11900" w:h="16840" w:orient="portrait"/>
          <w:cols w:equalWidth="0" w:num="1">
            <w:col w:w="10420"/>
          </w:cols>
          <w:pgMar w:left="660" w:top="1222" w:right="820" w:bottom="1440" w:gutter="0" w:footer="0" w:header="0"/>
        </w:sectPr>
      </w:pPr>
    </w:p>
    <w:bookmarkStart w:id="68" w:name="page69"/>
    <w:bookmarkEnd w:id="68"/>
    <w:p>
      <w:pPr>
        <w:jc w:val="center"/>
        <w:ind w:right="-539"/>
        <w:spacing w:after="0"/>
        <w:rPr>
          <w:sz w:val="20"/>
          <w:szCs w:val="20"/>
          <w:color w:val="auto"/>
        </w:rPr>
      </w:pPr>
      <w:r>
        <w:rPr>
          <w:rFonts w:ascii="Arial" w:cs="Arial" w:eastAsia="Arial" w:hAnsi="Arial"/>
          <w:sz w:val="15"/>
          <w:szCs w:val="15"/>
          <w:b w:val="1"/>
          <w:bCs w:val="1"/>
          <w:color w:val="auto"/>
        </w:rPr>
        <w:t>SIGNATURES</w:t>
      </w:r>
    </w:p>
    <w:p>
      <w:pPr>
        <w:spacing w:after="0" w:line="234" w:lineRule="exact"/>
        <w:rPr>
          <w:sz w:val="20"/>
          <w:szCs w:val="20"/>
          <w:color w:val="auto"/>
        </w:rPr>
      </w:pPr>
    </w:p>
    <w:p>
      <w:pPr>
        <w:ind w:firstLine="387"/>
        <w:spacing w:after="0" w:line="271" w:lineRule="auto"/>
        <w:rPr>
          <w:sz w:val="20"/>
          <w:szCs w:val="20"/>
          <w:color w:val="auto"/>
        </w:rPr>
      </w:pPr>
      <w:r>
        <w:rPr>
          <w:rFonts w:ascii="Arial" w:cs="Arial" w:eastAsia="Arial" w:hAnsi="Arial"/>
          <w:sz w:val="15"/>
          <w:szCs w:val="15"/>
          <w:color w:val="auto"/>
        </w:rPr>
        <w:t>Pursuant to the requirements of the Securities Exchange Act of 1934, the registrant has duly caused this report to be signed on its behalf by the undersigned thereunto duly authorized.</w:t>
      </w:r>
    </w:p>
    <w:p>
      <w:pPr>
        <w:spacing w:after="0" w:line="185" w:lineRule="exact"/>
        <w:rPr>
          <w:sz w:val="20"/>
          <w:szCs w:val="20"/>
          <w:color w:val="auto"/>
        </w:rPr>
      </w:pPr>
    </w:p>
    <w:p>
      <w:pPr>
        <w:spacing w:after="0"/>
        <w:rPr>
          <w:sz w:val="20"/>
          <w:szCs w:val="20"/>
          <w:color w:val="auto"/>
        </w:rPr>
      </w:pPr>
      <w:r>
        <w:rPr>
          <w:rFonts w:ascii="Arial" w:cs="Arial" w:eastAsia="Arial" w:hAnsi="Arial"/>
          <w:sz w:val="15"/>
          <w:szCs w:val="15"/>
          <w:color w:val="auto"/>
        </w:rPr>
        <w:t>Dated: June 1, 2023</w:t>
      </w:r>
    </w:p>
    <w:p>
      <w:pPr>
        <w:spacing w:after="0" w:line="200" w:lineRule="exact"/>
        <w:rPr>
          <w:sz w:val="20"/>
          <w:szCs w:val="20"/>
          <w:color w:val="auto"/>
        </w:rPr>
      </w:pPr>
    </w:p>
    <w:p>
      <w:pPr>
        <w:spacing w:after="0" w:line="307" w:lineRule="exact"/>
        <w:rPr>
          <w:sz w:val="20"/>
          <w:szCs w:val="20"/>
          <w:color w:val="auto"/>
        </w:rPr>
      </w:pPr>
    </w:p>
    <w:p>
      <w:pPr>
        <w:ind w:left="5220"/>
        <w:spacing w:after="0"/>
        <w:rPr>
          <w:sz w:val="20"/>
          <w:szCs w:val="20"/>
          <w:color w:val="auto"/>
        </w:rPr>
      </w:pPr>
      <w:r>
        <w:rPr>
          <w:rFonts w:ascii="Arial" w:cs="Arial" w:eastAsia="Arial" w:hAnsi="Arial"/>
          <w:sz w:val="15"/>
          <w:szCs w:val="15"/>
          <w:color w:val="auto"/>
        </w:rPr>
        <w:t>AUTODESK, INC.</w:t>
      </w:r>
    </w:p>
    <w:p>
      <w:pPr>
        <w:spacing w:after="0" w:line="27" w:lineRule="exact"/>
        <w:rPr>
          <w:sz w:val="20"/>
          <w:szCs w:val="20"/>
          <w:color w:val="auto"/>
        </w:rPr>
      </w:pPr>
    </w:p>
    <w:p>
      <w:pPr>
        <w:ind w:left="5220"/>
        <w:spacing w:after="0"/>
        <w:rPr>
          <w:sz w:val="20"/>
          <w:szCs w:val="20"/>
          <w:color w:val="auto"/>
        </w:rPr>
      </w:pPr>
      <w:r>
        <w:rPr>
          <w:rFonts w:ascii="Arial" w:cs="Arial" w:eastAsia="Arial" w:hAnsi="Arial"/>
          <w:sz w:val="15"/>
          <w:szCs w:val="15"/>
          <w:color w:val="auto"/>
        </w:rPr>
        <w:t>(Registrant)</w:t>
      </w:r>
    </w:p>
    <w:p>
      <w:pPr>
        <w:spacing w:after="0" w:line="261" w:lineRule="exact"/>
        <w:rPr>
          <w:sz w:val="20"/>
          <w:szCs w:val="20"/>
          <w:color w:val="auto"/>
        </w:rPr>
      </w:pPr>
    </w:p>
    <w:p>
      <w:pPr>
        <w:ind w:left="7080"/>
        <w:spacing w:after="0"/>
        <w:rPr>
          <w:sz w:val="20"/>
          <w:szCs w:val="20"/>
          <w:color w:val="auto"/>
        </w:rPr>
      </w:pPr>
      <w:r>
        <w:rPr>
          <w:rFonts w:ascii="Arial" w:cs="Arial" w:eastAsia="Arial" w:hAnsi="Arial"/>
          <w:sz w:val="15"/>
          <w:szCs w:val="15"/>
          <w:color w:val="auto"/>
        </w:rPr>
        <w:t>/s/ STEPHEN W. HOPE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3312795</wp:posOffset>
            </wp:positionH>
            <wp:positionV relativeFrom="paragraph">
              <wp:posOffset>13970</wp:posOffset>
            </wp:positionV>
            <wp:extent cx="3399790" cy="762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3399790" cy="7620"/>
                    </a:xfrm>
                    <a:prstGeom prst="rect">
                      <a:avLst/>
                    </a:prstGeom>
                    <a:noFill/>
                  </pic:spPr>
                </pic:pic>
              </a:graphicData>
            </a:graphic>
          </wp:anchor>
        </w:drawing>
      </w:r>
    </w:p>
    <w:p>
      <w:pPr>
        <w:spacing w:after="0" w:line="10" w:lineRule="exact"/>
        <w:rPr>
          <w:sz w:val="20"/>
          <w:szCs w:val="20"/>
          <w:color w:val="auto"/>
        </w:rPr>
      </w:pPr>
    </w:p>
    <w:p>
      <w:pPr>
        <w:jc w:val="center"/>
        <w:ind w:left="5220"/>
        <w:spacing w:after="0"/>
        <w:rPr>
          <w:sz w:val="20"/>
          <w:szCs w:val="20"/>
          <w:color w:val="auto"/>
        </w:rPr>
      </w:pPr>
      <w:r>
        <w:rPr>
          <w:rFonts w:ascii="Arial" w:cs="Arial" w:eastAsia="Arial" w:hAnsi="Arial"/>
          <w:sz w:val="13"/>
          <w:szCs w:val="13"/>
          <w:b w:val="1"/>
          <w:bCs w:val="1"/>
          <w:color w:val="auto"/>
        </w:rPr>
        <w:t>Stephen W. Hope</w:t>
      </w:r>
    </w:p>
    <w:p>
      <w:pPr>
        <w:spacing w:after="0" w:line="31" w:lineRule="exact"/>
        <w:rPr>
          <w:sz w:val="20"/>
          <w:szCs w:val="20"/>
          <w:color w:val="auto"/>
        </w:rPr>
      </w:pPr>
    </w:p>
    <w:p>
      <w:pPr>
        <w:jc w:val="center"/>
        <w:ind w:left="5200"/>
        <w:spacing w:after="0"/>
        <w:rPr>
          <w:sz w:val="20"/>
          <w:szCs w:val="20"/>
          <w:color w:val="auto"/>
        </w:rPr>
      </w:pPr>
      <w:r>
        <w:rPr>
          <w:rFonts w:ascii="Arial" w:cs="Arial" w:eastAsia="Arial" w:hAnsi="Arial"/>
          <w:sz w:val="13"/>
          <w:szCs w:val="13"/>
          <w:b w:val="1"/>
          <w:bCs w:val="1"/>
          <w:color w:val="auto"/>
        </w:rPr>
        <w:t>Vice President and Chief Accounting Officer</w:t>
      </w:r>
    </w:p>
    <w:p>
      <w:pPr>
        <w:spacing w:after="0" w:line="26" w:lineRule="exact"/>
        <w:rPr>
          <w:sz w:val="20"/>
          <w:szCs w:val="20"/>
          <w:color w:val="auto"/>
        </w:rPr>
      </w:pPr>
    </w:p>
    <w:p>
      <w:pPr>
        <w:jc w:val="center"/>
        <w:ind w:left="5220"/>
        <w:spacing w:after="0"/>
        <w:rPr>
          <w:sz w:val="20"/>
          <w:szCs w:val="20"/>
          <w:color w:val="auto"/>
        </w:rPr>
      </w:pPr>
      <w:r>
        <w:rPr>
          <w:rFonts w:ascii="Arial" w:cs="Arial" w:eastAsia="Arial" w:hAnsi="Arial"/>
          <w:sz w:val="13"/>
          <w:szCs w:val="13"/>
          <w:b w:val="1"/>
          <w:bCs w:val="1"/>
          <w:color w:val="auto"/>
        </w:rPr>
        <w:t>(Principal Accounting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5200"/>
        <w:spacing w:after="0"/>
        <w:rPr>
          <w:sz w:val="20"/>
          <w:szCs w:val="20"/>
          <w:color w:val="auto"/>
        </w:rPr>
      </w:pPr>
      <w:r>
        <w:rPr>
          <w:rFonts w:ascii="Arial" w:cs="Arial" w:eastAsia="Arial" w:hAnsi="Arial"/>
          <w:sz w:val="15"/>
          <w:szCs w:val="15"/>
          <w:color w:val="auto"/>
        </w:rPr>
        <w:t>69</w:t>
      </w:r>
    </w:p>
    <w:p>
      <w:pPr>
        <w:sectPr>
          <w:pgSz w:w="11900" w:h="16840" w:orient="portrait"/>
          <w:cols w:equalWidth="0" w:num="1">
            <w:col w:w="10040"/>
          </w:cols>
          <w:pgMar w:left="660" w:top="1222" w:right="1200" w:bottom="1440" w:gutter="0" w:footer="0" w:header="0"/>
        </w:sectPr>
      </w:pPr>
    </w:p>
    <w:bookmarkStart w:id="69" w:name="page70"/>
    <w:bookmarkEnd w:id="69"/>
    <w:p>
      <w:pPr>
        <w:jc w:val="right"/>
        <w:spacing w:after="0"/>
        <w:rPr>
          <w:sz w:val="20"/>
          <w:szCs w:val="20"/>
          <w:color w:val="auto"/>
        </w:rPr>
      </w:pPr>
      <w:r>
        <w:rPr>
          <w:rFonts w:ascii="Arial" w:cs="Arial" w:eastAsia="Arial" w:hAnsi="Arial"/>
          <w:sz w:val="15"/>
          <w:szCs w:val="15"/>
          <w:b w:val="1"/>
          <w:bCs w:val="1"/>
          <w:color w:val="auto"/>
        </w:rPr>
        <w:t>Exhibit 31.1</w:t>
      </w:r>
    </w:p>
    <w:p>
      <w:pPr>
        <w:spacing w:after="0" w:line="74"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CERTIFICATIONS</w:t>
      </w:r>
    </w:p>
    <w:p>
      <w:pPr>
        <w:spacing w:after="0" w:line="82" w:lineRule="exact"/>
        <w:rPr>
          <w:sz w:val="20"/>
          <w:szCs w:val="20"/>
          <w:color w:val="auto"/>
        </w:rPr>
      </w:pPr>
    </w:p>
    <w:p>
      <w:pPr>
        <w:spacing w:after="0"/>
        <w:rPr>
          <w:sz w:val="20"/>
          <w:szCs w:val="20"/>
          <w:color w:val="auto"/>
        </w:rPr>
      </w:pPr>
      <w:r>
        <w:rPr>
          <w:rFonts w:ascii="Arial" w:cs="Arial" w:eastAsia="Arial" w:hAnsi="Arial"/>
          <w:sz w:val="15"/>
          <w:szCs w:val="15"/>
          <w:color w:val="auto"/>
        </w:rPr>
        <w:t>I, Andrew Anagnost, certify that:</w:t>
      </w:r>
    </w:p>
    <w:p>
      <w:pPr>
        <w:spacing w:after="0" w:line="74" w:lineRule="exact"/>
        <w:rPr>
          <w:sz w:val="20"/>
          <w:szCs w:val="20"/>
          <w:color w:val="auto"/>
        </w:rPr>
      </w:pPr>
    </w:p>
    <w:p>
      <w:pPr>
        <w:ind w:left="300" w:hanging="296"/>
        <w:spacing w:after="0"/>
        <w:tabs>
          <w:tab w:leader="none" w:pos="300" w:val="left"/>
        </w:tabs>
        <w:numPr>
          <w:ilvl w:val="0"/>
          <w:numId w:val="36"/>
        </w:numPr>
        <w:rPr>
          <w:rFonts w:ascii="Arial" w:cs="Arial" w:eastAsia="Arial" w:hAnsi="Arial"/>
          <w:sz w:val="15"/>
          <w:szCs w:val="15"/>
          <w:color w:val="auto"/>
        </w:rPr>
      </w:pPr>
      <w:r>
        <w:rPr>
          <w:rFonts w:ascii="Arial" w:cs="Arial" w:eastAsia="Arial" w:hAnsi="Arial"/>
          <w:sz w:val="15"/>
          <w:szCs w:val="15"/>
          <w:color w:val="auto"/>
        </w:rPr>
        <w:t>I have reviewed this report on Form 10-Q of Autodesk, Inc.;</w:t>
      </w:r>
    </w:p>
    <w:p>
      <w:pPr>
        <w:spacing w:after="0" w:line="73" w:lineRule="exact"/>
        <w:rPr>
          <w:rFonts w:ascii="Arial" w:cs="Arial" w:eastAsia="Arial" w:hAnsi="Arial"/>
          <w:sz w:val="15"/>
          <w:szCs w:val="15"/>
          <w:color w:val="auto"/>
        </w:rPr>
      </w:pPr>
    </w:p>
    <w:p>
      <w:pPr>
        <w:jc w:val="both"/>
        <w:ind w:left="280" w:right="440" w:hanging="276"/>
        <w:spacing w:after="0" w:line="257" w:lineRule="auto"/>
        <w:tabs>
          <w:tab w:leader="none" w:pos="292" w:val="left"/>
        </w:tabs>
        <w:numPr>
          <w:ilvl w:val="0"/>
          <w:numId w:val="36"/>
        </w:numPr>
        <w:rPr>
          <w:rFonts w:ascii="Arial" w:cs="Arial" w:eastAsia="Arial" w:hAnsi="Arial"/>
          <w:sz w:val="15"/>
          <w:szCs w:val="15"/>
          <w:color w:val="auto"/>
        </w:rPr>
      </w:pPr>
      <w:r>
        <w:rPr>
          <w:rFonts w:ascii="Arial" w:cs="Arial" w:eastAsia="Arial" w:hAnsi="Arial"/>
          <w:sz w:val="15"/>
          <w:szCs w:val="15"/>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43" w:lineRule="exact"/>
        <w:rPr>
          <w:rFonts w:ascii="Arial" w:cs="Arial" w:eastAsia="Arial" w:hAnsi="Arial"/>
          <w:sz w:val="15"/>
          <w:szCs w:val="15"/>
          <w:color w:val="auto"/>
        </w:rPr>
      </w:pPr>
    </w:p>
    <w:p>
      <w:pPr>
        <w:ind w:left="280" w:right="560" w:hanging="276"/>
        <w:spacing w:after="0" w:line="271" w:lineRule="auto"/>
        <w:tabs>
          <w:tab w:leader="none" w:pos="292" w:val="left"/>
        </w:tabs>
        <w:numPr>
          <w:ilvl w:val="0"/>
          <w:numId w:val="36"/>
        </w:numPr>
        <w:rPr>
          <w:rFonts w:ascii="Arial" w:cs="Arial" w:eastAsia="Arial" w:hAnsi="Arial"/>
          <w:sz w:val="15"/>
          <w:szCs w:val="15"/>
          <w:color w:val="auto"/>
        </w:rPr>
      </w:pPr>
      <w:r>
        <w:rPr>
          <w:rFonts w:ascii="Arial" w:cs="Arial" w:eastAsia="Arial" w:hAnsi="Arial"/>
          <w:sz w:val="15"/>
          <w:szCs w:val="15"/>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32" w:lineRule="exact"/>
        <w:rPr>
          <w:rFonts w:ascii="Arial" w:cs="Arial" w:eastAsia="Arial" w:hAnsi="Arial"/>
          <w:sz w:val="15"/>
          <w:szCs w:val="15"/>
          <w:color w:val="auto"/>
        </w:rPr>
      </w:pPr>
    </w:p>
    <w:p>
      <w:pPr>
        <w:ind w:left="280" w:right="20" w:hanging="276"/>
        <w:spacing w:after="0" w:line="257" w:lineRule="auto"/>
        <w:tabs>
          <w:tab w:leader="none" w:pos="292" w:val="left"/>
        </w:tabs>
        <w:numPr>
          <w:ilvl w:val="0"/>
          <w:numId w:val="36"/>
        </w:numPr>
        <w:rPr>
          <w:rFonts w:ascii="Arial" w:cs="Arial" w:eastAsia="Arial" w:hAnsi="Arial"/>
          <w:sz w:val="15"/>
          <w:szCs w:val="15"/>
          <w:color w:val="auto"/>
        </w:rPr>
      </w:pPr>
      <w:r>
        <w:rPr>
          <w:rFonts w:ascii="Arial" w:cs="Arial" w:eastAsia="Arial" w:hAnsi="Arial"/>
          <w:sz w:val="15"/>
          <w:szCs w:val="15"/>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43" w:lineRule="exact"/>
        <w:rPr>
          <w:rFonts w:ascii="Arial" w:cs="Arial" w:eastAsia="Arial" w:hAnsi="Arial"/>
          <w:sz w:val="15"/>
          <w:szCs w:val="15"/>
          <w:color w:val="auto"/>
        </w:rPr>
      </w:pPr>
    </w:p>
    <w:p>
      <w:pPr>
        <w:ind w:left="560" w:right="60" w:hanging="275"/>
        <w:spacing w:after="0" w:line="257" w:lineRule="auto"/>
        <w:tabs>
          <w:tab w:leader="none" w:pos="572" w:val="left"/>
        </w:tabs>
        <w:numPr>
          <w:ilvl w:val="1"/>
          <w:numId w:val="36"/>
        </w:numPr>
        <w:rPr>
          <w:rFonts w:ascii="Arial" w:cs="Arial" w:eastAsia="Arial" w:hAnsi="Arial"/>
          <w:sz w:val="15"/>
          <w:szCs w:val="15"/>
          <w:color w:val="auto"/>
        </w:rPr>
      </w:pPr>
      <w:r>
        <w:rPr>
          <w:rFonts w:ascii="Arial" w:cs="Arial" w:eastAsia="Arial" w:hAnsi="Arial"/>
          <w:sz w:val="15"/>
          <w:szCs w:val="15"/>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43" w:lineRule="exact"/>
        <w:rPr>
          <w:rFonts w:ascii="Arial" w:cs="Arial" w:eastAsia="Arial" w:hAnsi="Arial"/>
          <w:sz w:val="15"/>
          <w:szCs w:val="15"/>
          <w:color w:val="auto"/>
        </w:rPr>
      </w:pPr>
    </w:p>
    <w:p>
      <w:pPr>
        <w:ind w:left="560" w:right="60" w:hanging="275"/>
        <w:spacing w:after="0" w:line="257" w:lineRule="auto"/>
        <w:tabs>
          <w:tab w:leader="none" w:pos="560" w:val="left"/>
        </w:tabs>
        <w:numPr>
          <w:ilvl w:val="1"/>
          <w:numId w:val="36"/>
        </w:numPr>
        <w:rPr>
          <w:rFonts w:ascii="Arial" w:cs="Arial" w:eastAsia="Arial" w:hAnsi="Arial"/>
          <w:sz w:val="15"/>
          <w:szCs w:val="15"/>
          <w:color w:val="auto"/>
        </w:rPr>
      </w:pPr>
      <w:r>
        <w:rPr>
          <w:rFonts w:ascii="Arial" w:cs="Arial" w:eastAsia="Arial" w:hAnsi="Arial"/>
          <w:sz w:val="15"/>
          <w:szCs w:val="15"/>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43" w:lineRule="exact"/>
        <w:rPr>
          <w:rFonts w:ascii="Arial" w:cs="Arial" w:eastAsia="Arial" w:hAnsi="Arial"/>
          <w:sz w:val="15"/>
          <w:szCs w:val="15"/>
          <w:color w:val="auto"/>
        </w:rPr>
      </w:pPr>
    </w:p>
    <w:p>
      <w:pPr>
        <w:jc w:val="both"/>
        <w:ind w:left="560" w:right="840" w:hanging="275"/>
        <w:spacing w:after="0" w:line="271" w:lineRule="auto"/>
        <w:tabs>
          <w:tab w:leader="none" w:pos="560" w:val="left"/>
        </w:tabs>
        <w:numPr>
          <w:ilvl w:val="1"/>
          <w:numId w:val="36"/>
        </w:numPr>
        <w:rPr>
          <w:rFonts w:ascii="Arial" w:cs="Arial" w:eastAsia="Arial" w:hAnsi="Arial"/>
          <w:sz w:val="15"/>
          <w:szCs w:val="15"/>
          <w:color w:val="auto"/>
        </w:rPr>
      </w:pPr>
      <w:r>
        <w:rPr>
          <w:rFonts w:ascii="Arial" w:cs="Arial" w:eastAsia="Arial" w:hAnsi="Arial"/>
          <w:sz w:val="15"/>
          <w:szCs w:val="15"/>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32" w:lineRule="exact"/>
        <w:rPr>
          <w:rFonts w:ascii="Arial" w:cs="Arial" w:eastAsia="Arial" w:hAnsi="Arial"/>
          <w:sz w:val="15"/>
          <w:szCs w:val="15"/>
          <w:color w:val="auto"/>
        </w:rPr>
      </w:pPr>
    </w:p>
    <w:p>
      <w:pPr>
        <w:ind w:left="560" w:right="160" w:hanging="275"/>
        <w:spacing w:after="0" w:line="257" w:lineRule="auto"/>
        <w:tabs>
          <w:tab w:leader="none" w:pos="560" w:val="left"/>
        </w:tabs>
        <w:numPr>
          <w:ilvl w:val="1"/>
          <w:numId w:val="36"/>
        </w:numPr>
        <w:rPr>
          <w:rFonts w:ascii="Arial" w:cs="Arial" w:eastAsia="Arial" w:hAnsi="Arial"/>
          <w:sz w:val="15"/>
          <w:szCs w:val="15"/>
          <w:color w:val="auto"/>
        </w:rPr>
      </w:pPr>
      <w:r>
        <w:rPr>
          <w:rFonts w:ascii="Arial" w:cs="Arial" w:eastAsia="Arial" w:hAnsi="Arial"/>
          <w:sz w:val="15"/>
          <w:szCs w:val="15"/>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43" w:lineRule="exact"/>
        <w:rPr>
          <w:rFonts w:ascii="Arial" w:cs="Arial" w:eastAsia="Arial" w:hAnsi="Arial"/>
          <w:sz w:val="15"/>
          <w:szCs w:val="15"/>
          <w:color w:val="auto"/>
        </w:rPr>
      </w:pPr>
    </w:p>
    <w:p>
      <w:pPr>
        <w:ind w:left="280" w:right="500" w:hanging="276"/>
        <w:spacing w:after="0" w:line="271" w:lineRule="auto"/>
        <w:tabs>
          <w:tab w:leader="none" w:pos="292" w:val="left"/>
        </w:tabs>
        <w:numPr>
          <w:ilvl w:val="0"/>
          <w:numId w:val="36"/>
        </w:numPr>
        <w:rPr>
          <w:rFonts w:ascii="Arial" w:cs="Arial" w:eastAsia="Arial" w:hAnsi="Arial"/>
          <w:sz w:val="15"/>
          <w:szCs w:val="15"/>
          <w:color w:val="auto"/>
        </w:rPr>
      </w:pPr>
      <w:r>
        <w:rPr>
          <w:rFonts w:ascii="Arial" w:cs="Arial" w:eastAsia="Arial" w:hAnsi="Arial"/>
          <w:sz w:val="15"/>
          <w:szCs w:val="15"/>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32" w:lineRule="exact"/>
        <w:rPr>
          <w:rFonts w:ascii="Arial" w:cs="Arial" w:eastAsia="Arial" w:hAnsi="Arial"/>
          <w:sz w:val="15"/>
          <w:szCs w:val="15"/>
          <w:color w:val="auto"/>
        </w:rPr>
      </w:pPr>
    </w:p>
    <w:p>
      <w:pPr>
        <w:ind w:left="560" w:right="120" w:hanging="275"/>
        <w:spacing w:after="0" w:line="271" w:lineRule="auto"/>
        <w:tabs>
          <w:tab w:leader="none" w:pos="572" w:val="left"/>
        </w:tabs>
        <w:numPr>
          <w:ilvl w:val="1"/>
          <w:numId w:val="36"/>
        </w:numPr>
        <w:rPr>
          <w:rFonts w:ascii="Arial" w:cs="Arial" w:eastAsia="Arial" w:hAnsi="Arial"/>
          <w:sz w:val="15"/>
          <w:szCs w:val="15"/>
          <w:color w:val="auto"/>
        </w:rPr>
      </w:pPr>
      <w:r>
        <w:rPr>
          <w:rFonts w:ascii="Arial" w:cs="Arial" w:eastAsia="Arial" w:hAnsi="Arial"/>
          <w:sz w:val="15"/>
          <w:szCs w:val="15"/>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32" w:lineRule="exact"/>
        <w:rPr>
          <w:rFonts w:ascii="Arial" w:cs="Arial" w:eastAsia="Arial" w:hAnsi="Arial"/>
          <w:sz w:val="15"/>
          <w:szCs w:val="15"/>
          <w:color w:val="auto"/>
        </w:rPr>
      </w:pPr>
    </w:p>
    <w:p>
      <w:pPr>
        <w:ind w:left="560" w:right="100" w:hanging="275"/>
        <w:spacing w:after="0" w:line="271" w:lineRule="auto"/>
        <w:tabs>
          <w:tab w:leader="none" w:pos="560" w:val="left"/>
        </w:tabs>
        <w:numPr>
          <w:ilvl w:val="1"/>
          <w:numId w:val="36"/>
        </w:numPr>
        <w:rPr>
          <w:rFonts w:ascii="Arial" w:cs="Arial" w:eastAsia="Arial" w:hAnsi="Arial"/>
          <w:sz w:val="15"/>
          <w:szCs w:val="15"/>
          <w:color w:val="auto"/>
        </w:rPr>
      </w:pPr>
      <w:r>
        <w:rPr>
          <w:rFonts w:ascii="Arial" w:cs="Arial" w:eastAsia="Arial" w:hAnsi="Arial"/>
          <w:sz w:val="15"/>
          <w:szCs w:val="15"/>
          <w:color w:val="auto"/>
        </w:rPr>
        <w:t>Any fraud, whether or not material, that involves management or other employees who have a significant role in the registrant’s internal control over financial reporting.</w:t>
      </w:r>
    </w:p>
    <w:p>
      <w:pPr>
        <w:spacing w:after="0" w:line="32" w:lineRule="exact"/>
        <w:rPr>
          <w:sz w:val="20"/>
          <w:szCs w:val="20"/>
          <w:color w:val="auto"/>
        </w:rPr>
      </w:pPr>
    </w:p>
    <w:p>
      <w:pPr>
        <w:spacing w:after="0"/>
        <w:rPr>
          <w:sz w:val="20"/>
          <w:szCs w:val="20"/>
          <w:color w:val="auto"/>
        </w:rPr>
      </w:pPr>
      <w:r>
        <w:rPr>
          <w:rFonts w:ascii="Arial" w:cs="Arial" w:eastAsia="Arial" w:hAnsi="Arial"/>
          <w:sz w:val="15"/>
          <w:szCs w:val="15"/>
          <w:color w:val="auto"/>
        </w:rPr>
        <w:t>Date: June 1, 2023</w:t>
      </w:r>
    </w:p>
    <w:p>
      <w:pPr>
        <w:spacing w:after="0" w:line="109" w:lineRule="exact"/>
        <w:rPr>
          <w:sz w:val="20"/>
          <w:szCs w:val="20"/>
          <w:color w:val="auto"/>
        </w:rPr>
      </w:pPr>
    </w:p>
    <w:p>
      <w:pPr>
        <w:ind w:left="6940"/>
        <w:spacing w:after="0"/>
        <w:tabs>
          <w:tab w:leader="none" w:pos="7240" w:val="left"/>
        </w:tabs>
        <w:rPr>
          <w:sz w:val="20"/>
          <w:szCs w:val="20"/>
          <w:color w:val="auto"/>
        </w:rPr>
      </w:pPr>
      <w:r>
        <w:rPr>
          <w:rFonts w:ascii="Arial" w:cs="Arial" w:eastAsia="Arial" w:hAnsi="Arial"/>
          <w:sz w:val="15"/>
          <w:szCs w:val="15"/>
          <w:color w:val="auto"/>
        </w:rPr>
        <w:t>/s/</w:t>
        <w:tab/>
        <w:t>ANDREW ANAGNOST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3491230</wp:posOffset>
            </wp:positionH>
            <wp:positionV relativeFrom="paragraph">
              <wp:posOffset>13970</wp:posOffset>
            </wp:positionV>
            <wp:extent cx="3221355" cy="762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3221355" cy="7620"/>
                    </a:xfrm>
                    <a:prstGeom prst="rect">
                      <a:avLst/>
                    </a:prstGeom>
                    <a:noFill/>
                  </pic:spPr>
                </pic:pic>
              </a:graphicData>
            </a:graphic>
          </wp:anchor>
        </w:drawing>
      </w:r>
    </w:p>
    <w:p>
      <w:pPr>
        <w:spacing w:after="0" w:line="11" w:lineRule="exact"/>
        <w:rPr>
          <w:sz w:val="20"/>
          <w:szCs w:val="20"/>
          <w:color w:val="auto"/>
        </w:rPr>
      </w:pPr>
    </w:p>
    <w:p>
      <w:pPr>
        <w:ind w:left="7440"/>
        <w:spacing w:after="0"/>
        <w:rPr>
          <w:sz w:val="20"/>
          <w:szCs w:val="20"/>
          <w:color w:val="auto"/>
        </w:rPr>
      </w:pPr>
      <w:r>
        <w:rPr>
          <w:rFonts w:ascii="Arial" w:cs="Arial" w:eastAsia="Arial" w:hAnsi="Arial"/>
          <w:sz w:val="14"/>
          <w:szCs w:val="14"/>
          <w:b w:val="1"/>
          <w:bCs w:val="1"/>
          <w:color w:val="auto"/>
        </w:rPr>
        <w:t>Andrew Anagnost</w:t>
      </w:r>
    </w:p>
    <w:p>
      <w:pPr>
        <w:spacing w:after="0" w:line="22" w:lineRule="exact"/>
        <w:rPr>
          <w:sz w:val="20"/>
          <w:szCs w:val="20"/>
          <w:color w:val="auto"/>
        </w:rPr>
      </w:pPr>
    </w:p>
    <w:p>
      <w:pPr>
        <w:ind w:left="6780"/>
        <w:spacing w:after="0"/>
        <w:rPr>
          <w:sz w:val="20"/>
          <w:szCs w:val="20"/>
          <w:color w:val="auto"/>
        </w:rPr>
      </w:pPr>
      <w:r>
        <w:rPr>
          <w:rFonts w:ascii="Arial" w:cs="Arial" w:eastAsia="Arial" w:hAnsi="Arial"/>
          <w:sz w:val="14"/>
          <w:szCs w:val="14"/>
          <w:b w:val="1"/>
          <w:bCs w:val="1"/>
          <w:color w:val="auto"/>
        </w:rPr>
        <w:t>President and Chief Executive Officer</w:t>
      </w:r>
    </w:p>
    <w:p>
      <w:pPr>
        <w:ind w:left="7100"/>
        <w:spacing w:after="0"/>
        <w:rPr>
          <w:sz w:val="20"/>
          <w:szCs w:val="20"/>
          <w:color w:val="auto"/>
        </w:rPr>
      </w:pPr>
      <w:r>
        <w:rPr>
          <w:rFonts w:ascii="Arial" w:cs="Arial" w:eastAsia="Arial" w:hAnsi="Arial"/>
          <w:sz w:val="14"/>
          <w:szCs w:val="14"/>
          <w:b w:val="1"/>
          <w:bCs w:val="1"/>
          <w:color w:val="auto"/>
        </w:rPr>
        <w:t>(Principal Executive Officer)</w:t>
      </w:r>
    </w:p>
    <w:p>
      <w:pPr>
        <w:sectPr>
          <w:pgSz w:w="11900" w:h="16840" w:orient="portrait"/>
          <w:cols w:equalWidth="0" w:num="1">
            <w:col w:w="10580"/>
          </w:cols>
          <w:pgMar w:left="660" w:top="1292" w:right="660" w:bottom="1440" w:gutter="0" w:footer="0" w:header="0"/>
        </w:sectPr>
      </w:pPr>
    </w:p>
    <w:bookmarkStart w:id="70" w:name="page71"/>
    <w:bookmarkEnd w:id="70"/>
    <w:p>
      <w:pPr>
        <w:jc w:val="right"/>
        <w:spacing w:after="0"/>
        <w:rPr>
          <w:sz w:val="20"/>
          <w:szCs w:val="20"/>
          <w:color w:val="auto"/>
        </w:rPr>
      </w:pPr>
      <w:r>
        <w:rPr>
          <w:rFonts w:ascii="Arial" w:cs="Arial" w:eastAsia="Arial" w:hAnsi="Arial"/>
          <w:sz w:val="15"/>
          <w:szCs w:val="15"/>
          <w:b w:val="1"/>
          <w:bCs w:val="1"/>
          <w:color w:val="auto"/>
        </w:rPr>
        <w:t>Exhibit 31.2</w:t>
      </w:r>
    </w:p>
    <w:p>
      <w:pPr>
        <w:spacing w:after="0" w:line="74"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CERTIFICATIONS</w:t>
      </w:r>
    </w:p>
    <w:p>
      <w:pPr>
        <w:spacing w:after="0" w:line="82" w:lineRule="exact"/>
        <w:rPr>
          <w:sz w:val="20"/>
          <w:szCs w:val="20"/>
          <w:color w:val="auto"/>
        </w:rPr>
      </w:pPr>
    </w:p>
    <w:p>
      <w:pPr>
        <w:spacing w:after="0"/>
        <w:rPr>
          <w:sz w:val="20"/>
          <w:szCs w:val="20"/>
          <w:color w:val="auto"/>
        </w:rPr>
      </w:pPr>
      <w:r>
        <w:rPr>
          <w:rFonts w:ascii="Arial" w:cs="Arial" w:eastAsia="Arial" w:hAnsi="Arial"/>
          <w:sz w:val="15"/>
          <w:szCs w:val="15"/>
          <w:color w:val="auto"/>
        </w:rPr>
        <w:t>I, Deborah L. Clifford, certify that:</w:t>
      </w:r>
    </w:p>
    <w:p>
      <w:pPr>
        <w:spacing w:after="0" w:line="74" w:lineRule="exact"/>
        <w:rPr>
          <w:sz w:val="20"/>
          <w:szCs w:val="20"/>
          <w:color w:val="auto"/>
        </w:rPr>
      </w:pPr>
    </w:p>
    <w:p>
      <w:pPr>
        <w:ind w:left="300" w:hanging="296"/>
        <w:spacing w:after="0"/>
        <w:tabs>
          <w:tab w:leader="none" w:pos="300" w:val="left"/>
        </w:tabs>
        <w:numPr>
          <w:ilvl w:val="0"/>
          <w:numId w:val="37"/>
        </w:numPr>
        <w:rPr>
          <w:rFonts w:ascii="Arial" w:cs="Arial" w:eastAsia="Arial" w:hAnsi="Arial"/>
          <w:sz w:val="15"/>
          <w:szCs w:val="15"/>
          <w:color w:val="auto"/>
        </w:rPr>
      </w:pPr>
      <w:r>
        <w:rPr>
          <w:rFonts w:ascii="Arial" w:cs="Arial" w:eastAsia="Arial" w:hAnsi="Arial"/>
          <w:sz w:val="15"/>
          <w:szCs w:val="15"/>
          <w:color w:val="auto"/>
        </w:rPr>
        <w:t>I have reviewed this report on Form 10-Q of Autodesk, Inc.;</w:t>
      </w:r>
    </w:p>
    <w:p>
      <w:pPr>
        <w:spacing w:after="0" w:line="73" w:lineRule="exact"/>
        <w:rPr>
          <w:rFonts w:ascii="Arial" w:cs="Arial" w:eastAsia="Arial" w:hAnsi="Arial"/>
          <w:sz w:val="15"/>
          <w:szCs w:val="15"/>
          <w:color w:val="auto"/>
        </w:rPr>
      </w:pPr>
    </w:p>
    <w:p>
      <w:pPr>
        <w:jc w:val="both"/>
        <w:ind w:left="280" w:right="440" w:hanging="276"/>
        <w:spacing w:after="0" w:line="257" w:lineRule="auto"/>
        <w:tabs>
          <w:tab w:leader="none" w:pos="292" w:val="left"/>
        </w:tabs>
        <w:numPr>
          <w:ilvl w:val="0"/>
          <w:numId w:val="37"/>
        </w:numPr>
        <w:rPr>
          <w:rFonts w:ascii="Arial" w:cs="Arial" w:eastAsia="Arial" w:hAnsi="Arial"/>
          <w:sz w:val="15"/>
          <w:szCs w:val="15"/>
          <w:color w:val="auto"/>
        </w:rPr>
      </w:pPr>
      <w:r>
        <w:rPr>
          <w:rFonts w:ascii="Arial" w:cs="Arial" w:eastAsia="Arial" w:hAnsi="Arial"/>
          <w:sz w:val="15"/>
          <w:szCs w:val="15"/>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43" w:lineRule="exact"/>
        <w:rPr>
          <w:rFonts w:ascii="Arial" w:cs="Arial" w:eastAsia="Arial" w:hAnsi="Arial"/>
          <w:sz w:val="15"/>
          <w:szCs w:val="15"/>
          <w:color w:val="auto"/>
        </w:rPr>
      </w:pPr>
    </w:p>
    <w:p>
      <w:pPr>
        <w:ind w:left="280" w:right="560" w:hanging="276"/>
        <w:spacing w:after="0" w:line="271" w:lineRule="auto"/>
        <w:tabs>
          <w:tab w:leader="none" w:pos="292" w:val="left"/>
        </w:tabs>
        <w:numPr>
          <w:ilvl w:val="0"/>
          <w:numId w:val="37"/>
        </w:numPr>
        <w:rPr>
          <w:rFonts w:ascii="Arial" w:cs="Arial" w:eastAsia="Arial" w:hAnsi="Arial"/>
          <w:sz w:val="15"/>
          <w:szCs w:val="15"/>
          <w:color w:val="auto"/>
        </w:rPr>
      </w:pPr>
      <w:r>
        <w:rPr>
          <w:rFonts w:ascii="Arial" w:cs="Arial" w:eastAsia="Arial" w:hAnsi="Arial"/>
          <w:sz w:val="15"/>
          <w:szCs w:val="15"/>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32" w:lineRule="exact"/>
        <w:rPr>
          <w:rFonts w:ascii="Arial" w:cs="Arial" w:eastAsia="Arial" w:hAnsi="Arial"/>
          <w:sz w:val="15"/>
          <w:szCs w:val="15"/>
          <w:color w:val="auto"/>
        </w:rPr>
      </w:pPr>
    </w:p>
    <w:p>
      <w:pPr>
        <w:ind w:left="280" w:right="20" w:hanging="276"/>
        <w:spacing w:after="0" w:line="257" w:lineRule="auto"/>
        <w:tabs>
          <w:tab w:leader="none" w:pos="292" w:val="left"/>
        </w:tabs>
        <w:numPr>
          <w:ilvl w:val="0"/>
          <w:numId w:val="37"/>
        </w:numPr>
        <w:rPr>
          <w:rFonts w:ascii="Arial" w:cs="Arial" w:eastAsia="Arial" w:hAnsi="Arial"/>
          <w:sz w:val="15"/>
          <w:szCs w:val="15"/>
          <w:color w:val="auto"/>
        </w:rPr>
      </w:pPr>
      <w:r>
        <w:rPr>
          <w:rFonts w:ascii="Arial" w:cs="Arial" w:eastAsia="Arial" w:hAnsi="Arial"/>
          <w:sz w:val="15"/>
          <w:szCs w:val="15"/>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43" w:lineRule="exact"/>
        <w:rPr>
          <w:rFonts w:ascii="Arial" w:cs="Arial" w:eastAsia="Arial" w:hAnsi="Arial"/>
          <w:sz w:val="15"/>
          <w:szCs w:val="15"/>
          <w:color w:val="auto"/>
        </w:rPr>
      </w:pPr>
    </w:p>
    <w:p>
      <w:pPr>
        <w:ind w:left="560" w:right="60" w:hanging="275"/>
        <w:spacing w:after="0" w:line="257" w:lineRule="auto"/>
        <w:tabs>
          <w:tab w:leader="none" w:pos="572" w:val="left"/>
        </w:tabs>
        <w:numPr>
          <w:ilvl w:val="1"/>
          <w:numId w:val="37"/>
        </w:numPr>
        <w:rPr>
          <w:rFonts w:ascii="Arial" w:cs="Arial" w:eastAsia="Arial" w:hAnsi="Arial"/>
          <w:sz w:val="15"/>
          <w:szCs w:val="15"/>
          <w:color w:val="auto"/>
        </w:rPr>
      </w:pPr>
      <w:r>
        <w:rPr>
          <w:rFonts w:ascii="Arial" w:cs="Arial" w:eastAsia="Arial" w:hAnsi="Arial"/>
          <w:sz w:val="15"/>
          <w:szCs w:val="15"/>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43" w:lineRule="exact"/>
        <w:rPr>
          <w:rFonts w:ascii="Arial" w:cs="Arial" w:eastAsia="Arial" w:hAnsi="Arial"/>
          <w:sz w:val="15"/>
          <w:szCs w:val="15"/>
          <w:color w:val="auto"/>
        </w:rPr>
      </w:pPr>
    </w:p>
    <w:p>
      <w:pPr>
        <w:ind w:left="560" w:right="60" w:hanging="275"/>
        <w:spacing w:after="0" w:line="257" w:lineRule="auto"/>
        <w:tabs>
          <w:tab w:leader="none" w:pos="560" w:val="left"/>
        </w:tabs>
        <w:numPr>
          <w:ilvl w:val="1"/>
          <w:numId w:val="37"/>
        </w:numPr>
        <w:rPr>
          <w:rFonts w:ascii="Arial" w:cs="Arial" w:eastAsia="Arial" w:hAnsi="Arial"/>
          <w:sz w:val="15"/>
          <w:szCs w:val="15"/>
          <w:color w:val="auto"/>
        </w:rPr>
      </w:pPr>
      <w:r>
        <w:rPr>
          <w:rFonts w:ascii="Arial" w:cs="Arial" w:eastAsia="Arial" w:hAnsi="Arial"/>
          <w:sz w:val="15"/>
          <w:szCs w:val="15"/>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43" w:lineRule="exact"/>
        <w:rPr>
          <w:rFonts w:ascii="Arial" w:cs="Arial" w:eastAsia="Arial" w:hAnsi="Arial"/>
          <w:sz w:val="15"/>
          <w:szCs w:val="15"/>
          <w:color w:val="auto"/>
        </w:rPr>
      </w:pPr>
    </w:p>
    <w:p>
      <w:pPr>
        <w:jc w:val="both"/>
        <w:ind w:left="560" w:right="840" w:hanging="275"/>
        <w:spacing w:after="0" w:line="271" w:lineRule="auto"/>
        <w:tabs>
          <w:tab w:leader="none" w:pos="560" w:val="left"/>
        </w:tabs>
        <w:numPr>
          <w:ilvl w:val="1"/>
          <w:numId w:val="37"/>
        </w:numPr>
        <w:rPr>
          <w:rFonts w:ascii="Arial" w:cs="Arial" w:eastAsia="Arial" w:hAnsi="Arial"/>
          <w:sz w:val="15"/>
          <w:szCs w:val="15"/>
          <w:color w:val="auto"/>
        </w:rPr>
      </w:pPr>
      <w:r>
        <w:rPr>
          <w:rFonts w:ascii="Arial" w:cs="Arial" w:eastAsia="Arial" w:hAnsi="Arial"/>
          <w:sz w:val="15"/>
          <w:szCs w:val="15"/>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32" w:lineRule="exact"/>
        <w:rPr>
          <w:rFonts w:ascii="Arial" w:cs="Arial" w:eastAsia="Arial" w:hAnsi="Arial"/>
          <w:sz w:val="15"/>
          <w:szCs w:val="15"/>
          <w:color w:val="auto"/>
        </w:rPr>
      </w:pPr>
    </w:p>
    <w:p>
      <w:pPr>
        <w:ind w:left="560" w:right="160" w:hanging="275"/>
        <w:spacing w:after="0" w:line="257" w:lineRule="auto"/>
        <w:tabs>
          <w:tab w:leader="none" w:pos="560" w:val="left"/>
        </w:tabs>
        <w:numPr>
          <w:ilvl w:val="1"/>
          <w:numId w:val="37"/>
        </w:numPr>
        <w:rPr>
          <w:rFonts w:ascii="Arial" w:cs="Arial" w:eastAsia="Arial" w:hAnsi="Arial"/>
          <w:sz w:val="15"/>
          <w:szCs w:val="15"/>
          <w:color w:val="auto"/>
        </w:rPr>
      </w:pPr>
      <w:r>
        <w:rPr>
          <w:rFonts w:ascii="Arial" w:cs="Arial" w:eastAsia="Arial" w:hAnsi="Arial"/>
          <w:sz w:val="15"/>
          <w:szCs w:val="15"/>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43" w:lineRule="exact"/>
        <w:rPr>
          <w:rFonts w:ascii="Arial" w:cs="Arial" w:eastAsia="Arial" w:hAnsi="Arial"/>
          <w:sz w:val="15"/>
          <w:szCs w:val="15"/>
          <w:color w:val="auto"/>
        </w:rPr>
      </w:pPr>
    </w:p>
    <w:p>
      <w:pPr>
        <w:ind w:left="280" w:right="500" w:hanging="276"/>
        <w:spacing w:after="0" w:line="271" w:lineRule="auto"/>
        <w:tabs>
          <w:tab w:leader="none" w:pos="292" w:val="left"/>
        </w:tabs>
        <w:numPr>
          <w:ilvl w:val="0"/>
          <w:numId w:val="37"/>
        </w:numPr>
        <w:rPr>
          <w:rFonts w:ascii="Arial" w:cs="Arial" w:eastAsia="Arial" w:hAnsi="Arial"/>
          <w:sz w:val="15"/>
          <w:szCs w:val="15"/>
          <w:color w:val="auto"/>
        </w:rPr>
      </w:pPr>
      <w:r>
        <w:rPr>
          <w:rFonts w:ascii="Arial" w:cs="Arial" w:eastAsia="Arial" w:hAnsi="Arial"/>
          <w:sz w:val="15"/>
          <w:szCs w:val="15"/>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32" w:lineRule="exact"/>
        <w:rPr>
          <w:rFonts w:ascii="Arial" w:cs="Arial" w:eastAsia="Arial" w:hAnsi="Arial"/>
          <w:sz w:val="15"/>
          <w:szCs w:val="15"/>
          <w:color w:val="auto"/>
        </w:rPr>
      </w:pPr>
    </w:p>
    <w:p>
      <w:pPr>
        <w:ind w:left="560" w:right="120" w:hanging="275"/>
        <w:spacing w:after="0" w:line="271" w:lineRule="auto"/>
        <w:tabs>
          <w:tab w:leader="none" w:pos="572" w:val="left"/>
        </w:tabs>
        <w:numPr>
          <w:ilvl w:val="1"/>
          <w:numId w:val="37"/>
        </w:numPr>
        <w:rPr>
          <w:rFonts w:ascii="Arial" w:cs="Arial" w:eastAsia="Arial" w:hAnsi="Arial"/>
          <w:sz w:val="15"/>
          <w:szCs w:val="15"/>
          <w:color w:val="auto"/>
        </w:rPr>
      </w:pPr>
      <w:r>
        <w:rPr>
          <w:rFonts w:ascii="Arial" w:cs="Arial" w:eastAsia="Arial" w:hAnsi="Arial"/>
          <w:sz w:val="15"/>
          <w:szCs w:val="15"/>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32" w:lineRule="exact"/>
        <w:rPr>
          <w:rFonts w:ascii="Arial" w:cs="Arial" w:eastAsia="Arial" w:hAnsi="Arial"/>
          <w:sz w:val="15"/>
          <w:szCs w:val="15"/>
          <w:color w:val="auto"/>
        </w:rPr>
      </w:pPr>
    </w:p>
    <w:p>
      <w:pPr>
        <w:ind w:left="560" w:right="100" w:hanging="275"/>
        <w:spacing w:after="0" w:line="271" w:lineRule="auto"/>
        <w:tabs>
          <w:tab w:leader="none" w:pos="560" w:val="left"/>
        </w:tabs>
        <w:numPr>
          <w:ilvl w:val="1"/>
          <w:numId w:val="37"/>
        </w:numPr>
        <w:rPr>
          <w:rFonts w:ascii="Arial" w:cs="Arial" w:eastAsia="Arial" w:hAnsi="Arial"/>
          <w:sz w:val="15"/>
          <w:szCs w:val="15"/>
          <w:color w:val="auto"/>
        </w:rPr>
      </w:pPr>
      <w:r>
        <w:rPr>
          <w:rFonts w:ascii="Arial" w:cs="Arial" w:eastAsia="Arial" w:hAnsi="Arial"/>
          <w:sz w:val="15"/>
          <w:szCs w:val="15"/>
          <w:color w:val="auto"/>
        </w:rPr>
        <w:t>Any fraud, whether or not material, that involves management or other employees who have a significant role in the registrant’s internal control over financial reporting.</w:t>
      </w:r>
    </w:p>
    <w:p>
      <w:pPr>
        <w:spacing w:after="0" w:line="32" w:lineRule="exact"/>
        <w:rPr>
          <w:sz w:val="20"/>
          <w:szCs w:val="20"/>
          <w:color w:val="auto"/>
        </w:rPr>
      </w:pPr>
    </w:p>
    <w:p>
      <w:pPr>
        <w:spacing w:after="0"/>
        <w:rPr>
          <w:sz w:val="20"/>
          <w:szCs w:val="20"/>
          <w:color w:val="auto"/>
        </w:rPr>
      </w:pPr>
      <w:r>
        <w:rPr>
          <w:rFonts w:ascii="Arial" w:cs="Arial" w:eastAsia="Arial" w:hAnsi="Arial"/>
          <w:sz w:val="15"/>
          <w:szCs w:val="15"/>
          <w:color w:val="auto"/>
        </w:rPr>
        <w:t>Date: June 1, 2023</w:t>
      </w:r>
    </w:p>
    <w:p>
      <w:pPr>
        <w:spacing w:after="0" w:line="109" w:lineRule="exact"/>
        <w:rPr>
          <w:sz w:val="20"/>
          <w:szCs w:val="20"/>
          <w:color w:val="auto"/>
        </w:rPr>
      </w:pPr>
    </w:p>
    <w:p>
      <w:pPr>
        <w:jc w:val="center"/>
        <w:ind w:left="4960"/>
        <w:spacing w:after="0"/>
        <w:rPr>
          <w:sz w:val="20"/>
          <w:szCs w:val="20"/>
          <w:color w:val="auto"/>
        </w:rPr>
      </w:pPr>
      <w:r>
        <w:rPr>
          <w:rFonts w:ascii="Arial" w:cs="Arial" w:eastAsia="Arial" w:hAnsi="Arial"/>
          <w:sz w:val="15"/>
          <w:szCs w:val="15"/>
          <w:color w:val="auto"/>
        </w:rPr>
        <w:t>/s/ DEBORAH L. CLIFFORD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3156585</wp:posOffset>
            </wp:positionH>
            <wp:positionV relativeFrom="paragraph">
              <wp:posOffset>13970</wp:posOffset>
            </wp:positionV>
            <wp:extent cx="3556000" cy="762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3556000" cy="7620"/>
                    </a:xfrm>
                    <a:prstGeom prst="rect">
                      <a:avLst/>
                    </a:prstGeom>
                    <a:noFill/>
                  </pic:spPr>
                </pic:pic>
              </a:graphicData>
            </a:graphic>
          </wp:anchor>
        </w:drawing>
      </w:r>
    </w:p>
    <w:p>
      <w:pPr>
        <w:spacing w:after="0" w:line="11" w:lineRule="exact"/>
        <w:rPr>
          <w:sz w:val="20"/>
          <w:szCs w:val="20"/>
          <w:color w:val="auto"/>
        </w:rPr>
      </w:pPr>
    </w:p>
    <w:p>
      <w:pPr>
        <w:ind w:left="7140"/>
        <w:spacing w:after="0"/>
        <w:rPr>
          <w:sz w:val="20"/>
          <w:szCs w:val="20"/>
          <w:color w:val="auto"/>
        </w:rPr>
      </w:pPr>
      <w:r>
        <w:rPr>
          <w:rFonts w:ascii="Arial" w:cs="Arial" w:eastAsia="Arial" w:hAnsi="Arial"/>
          <w:sz w:val="14"/>
          <w:szCs w:val="14"/>
          <w:b w:val="1"/>
          <w:bCs w:val="1"/>
          <w:color w:val="auto"/>
        </w:rPr>
        <w:t>Deborah L. Clifford</w:t>
      </w:r>
    </w:p>
    <w:p>
      <w:pPr>
        <w:spacing w:after="0" w:line="22" w:lineRule="exact"/>
        <w:rPr>
          <w:sz w:val="20"/>
          <w:szCs w:val="20"/>
          <w:color w:val="auto"/>
        </w:rPr>
      </w:pPr>
    </w:p>
    <w:p>
      <w:pPr>
        <w:ind w:left="6040"/>
        <w:spacing w:after="0"/>
        <w:rPr>
          <w:sz w:val="20"/>
          <w:szCs w:val="20"/>
          <w:color w:val="auto"/>
        </w:rPr>
      </w:pPr>
      <w:r>
        <w:rPr>
          <w:rFonts w:ascii="Arial" w:cs="Arial" w:eastAsia="Arial" w:hAnsi="Arial"/>
          <w:sz w:val="14"/>
          <w:szCs w:val="14"/>
          <w:b w:val="1"/>
          <w:bCs w:val="1"/>
          <w:color w:val="auto"/>
        </w:rPr>
        <w:t>Executive Vice President and Chief Financial Officer</w:t>
      </w:r>
    </w:p>
    <w:p>
      <w:pPr>
        <w:ind w:left="6860"/>
        <w:spacing w:after="0"/>
        <w:rPr>
          <w:sz w:val="20"/>
          <w:szCs w:val="20"/>
          <w:color w:val="auto"/>
        </w:rPr>
      </w:pPr>
      <w:r>
        <w:rPr>
          <w:rFonts w:ascii="Arial" w:cs="Arial" w:eastAsia="Arial" w:hAnsi="Arial"/>
          <w:sz w:val="14"/>
          <w:szCs w:val="14"/>
          <w:b w:val="1"/>
          <w:bCs w:val="1"/>
          <w:color w:val="auto"/>
        </w:rPr>
        <w:t>(Principal Financial Officer)</w:t>
      </w:r>
    </w:p>
    <w:p>
      <w:pPr>
        <w:sectPr>
          <w:pgSz w:w="11900" w:h="16840" w:orient="portrait"/>
          <w:cols w:equalWidth="0" w:num="1">
            <w:col w:w="10580"/>
          </w:cols>
          <w:pgMar w:left="660" w:top="1292" w:right="660" w:bottom="1440" w:gutter="0" w:footer="0" w:header="0"/>
        </w:sectPr>
      </w:pPr>
    </w:p>
    <w:bookmarkStart w:id="71" w:name="page72"/>
    <w:bookmarkEnd w:id="71"/>
    <w:p>
      <w:pPr>
        <w:jc w:val="right"/>
        <w:spacing w:after="0"/>
        <w:rPr>
          <w:sz w:val="20"/>
          <w:szCs w:val="20"/>
          <w:color w:val="auto"/>
        </w:rPr>
      </w:pPr>
      <w:r>
        <w:rPr>
          <w:rFonts w:ascii="Arial" w:cs="Arial" w:eastAsia="Arial" w:hAnsi="Arial"/>
          <w:sz w:val="15"/>
          <w:szCs w:val="15"/>
          <w:b w:val="1"/>
          <w:bCs w:val="1"/>
          <w:color w:val="auto"/>
        </w:rPr>
        <w:t>Exhibit 32.1</w:t>
      </w:r>
    </w:p>
    <w:p>
      <w:pPr>
        <w:spacing w:after="0" w:line="74"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CERTIFICATION OF CHIEF EXECUTIVE OFFICER AND CHIEF FINANCIAL OFFICER</w:t>
      </w:r>
    </w:p>
    <w:p>
      <w:pPr>
        <w:spacing w:after="0" w:line="21"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PURSUANT TO</w:t>
      </w:r>
    </w:p>
    <w:p>
      <w:pPr>
        <w:spacing w:after="0" w:line="3"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18 U.S.C. SECTION 1350,</w:t>
      </w:r>
    </w:p>
    <w:p>
      <w:pPr>
        <w:spacing w:after="0" w:line="3" w:lineRule="exact"/>
        <w:rPr>
          <w:sz w:val="20"/>
          <w:szCs w:val="20"/>
          <w:color w:val="auto"/>
        </w:rPr>
      </w:pPr>
    </w:p>
    <w:p>
      <w:pPr>
        <w:jc w:val="center"/>
        <w:ind w:right="20"/>
        <w:spacing w:after="0"/>
        <w:rPr>
          <w:sz w:val="20"/>
          <w:szCs w:val="20"/>
          <w:color w:val="auto"/>
        </w:rPr>
      </w:pPr>
      <w:r>
        <w:rPr>
          <w:rFonts w:ascii="Arial" w:cs="Arial" w:eastAsia="Arial" w:hAnsi="Arial"/>
          <w:sz w:val="15"/>
          <w:szCs w:val="15"/>
          <w:b w:val="1"/>
          <w:bCs w:val="1"/>
          <w:color w:val="auto"/>
        </w:rPr>
        <w:t>AS ADOPTED PURSUANT TO</w:t>
      </w:r>
    </w:p>
    <w:p>
      <w:pPr>
        <w:spacing w:after="0" w:line="3" w:lineRule="exact"/>
        <w:rPr>
          <w:sz w:val="20"/>
          <w:szCs w:val="20"/>
          <w:color w:val="auto"/>
        </w:rPr>
      </w:pPr>
    </w:p>
    <w:p>
      <w:pPr>
        <w:jc w:val="center"/>
        <w:spacing w:after="0"/>
        <w:rPr>
          <w:sz w:val="20"/>
          <w:szCs w:val="20"/>
          <w:color w:val="auto"/>
        </w:rPr>
      </w:pPr>
      <w:r>
        <w:rPr>
          <w:rFonts w:ascii="Arial" w:cs="Arial" w:eastAsia="Arial" w:hAnsi="Arial"/>
          <w:sz w:val="15"/>
          <w:szCs w:val="15"/>
          <w:b w:val="1"/>
          <w:bCs w:val="1"/>
          <w:color w:val="auto"/>
        </w:rPr>
        <w:t>SECTION 906 OF THE SARBANES-OXLEY ACT OF 2002</w:t>
      </w:r>
    </w:p>
    <w:p>
      <w:pPr>
        <w:spacing w:after="0" w:line="356" w:lineRule="exact"/>
        <w:rPr>
          <w:sz w:val="20"/>
          <w:szCs w:val="20"/>
          <w:color w:val="auto"/>
        </w:rPr>
      </w:pPr>
    </w:p>
    <w:p>
      <w:pPr>
        <w:jc w:val="both"/>
        <w:ind w:right="200" w:firstLine="281"/>
        <w:spacing w:after="0" w:line="253" w:lineRule="auto"/>
        <w:rPr>
          <w:sz w:val="20"/>
          <w:szCs w:val="20"/>
          <w:color w:val="auto"/>
        </w:rPr>
      </w:pPr>
      <w:r>
        <w:rPr>
          <w:rFonts w:ascii="Arial" w:cs="Arial" w:eastAsia="Arial" w:hAnsi="Arial"/>
          <w:sz w:val="15"/>
          <w:szCs w:val="15"/>
          <w:color w:val="auto"/>
        </w:rPr>
        <w:t>Based on my knowledge, I, Andrew Anagnost, certify, pursuant to 18 U.S.C. Section 1350, as adopted pursuant to Section 906 of the Sarbanes-Oxley Act of 2002, that the Quarterly Report of Autodesk, Inc. on Form 10-Q for the quarterly period ended April 30, 2023, fully complies with the requirements of Section 13(a) or 15(d) of the Securities Exchange Act of 1934 and that information contained in such Form 10-Q fairly presents in all material respects the financial condition and results of operations of Autodesk, Inc.</w:t>
      </w:r>
    </w:p>
    <w:p>
      <w:pPr>
        <w:spacing w:after="0" w:line="46" w:lineRule="exact"/>
        <w:rPr>
          <w:sz w:val="20"/>
          <w:szCs w:val="20"/>
          <w:color w:val="auto"/>
        </w:rPr>
      </w:pPr>
    </w:p>
    <w:p>
      <w:pPr>
        <w:spacing w:after="0"/>
        <w:rPr>
          <w:sz w:val="20"/>
          <w:szCs w:val="20"/>
          <w:color w:val="auto"/>
        </w:rPr>
      </w:pPr>
      <w:r>
        <w:rPr>
          <w:rFonts w:ascii="Arial" w:cs="Arial" w:eastAsia="Arial" w:hAnsi="Arial"/>
          <w:sz w:val="15"/>
          <w:szCs w:val="15"/>
          <w:color w:val="auto"/>
        </w:rPr>
        <w:t>Dated: June 1, 2023</w:t>
      </w:r>
    </w:p>
    <w:p>
      <w:pPr>
        <w:spacing w:after="0" w:line="109" w:lineRule="exact"/>
        <w:rPr>
          <w:sz w:val="20"/>
          <w:szCs w:val="20"/>
          <w:color w:val="auto"/>
        </w:rPr>
      </w:pPr>
    </w:p>
    <w:p>
      <w:pPr>
        <w:ind w:left="6740"/>
        <w:spacing w:after="0"/>
        <w:tabs>
          <w:tab w:leader="none" w:pos="7040" w:val="left"/>
        </w:tabs>
        <w:rPr>
          <w:sz w:val="20"/>
          <w:szCs w:val="20"/>
          <w:color w:val="auto"/>
        </w:rPr>
      </w:pPr>
      <w:r>
        <w:rPr>
          <w:rFonts w:ascii="Arial" w:cs="Arial" w:eastAsia="Arial" w:hAnsi="Arial"/>
          <w:sz w:val="15"/>
          <w:szCs w:val="15"/>
          <w:color w:val="auto"/>
        </w:rPr>
        <w:t>/s/</w:t>
        <w:tab/>
        <w:t>ANDREW ANAGNOST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3238500</wp:posOffset>
            </wp:positionH>
            <wp:positionV relativeFrom="paragraph">
              <wp:posOffset>13970</wp:posOffset>
            </wp:positionV>
            <wp:extent cx="3474085" cy="762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3474085" cy="7620"/>
                    </a:xfrm>
                    <a:prstGeom prst="rect">
                      <a:avLst/>
                    </a:prstGeom>
                    <a:noFill/>
                  </pic:spPr>
                </pic:pic>
              </a:graphicData>
            </a:graphic>
          </wp:anchor>
        </w:drawing>
      </w:r>
    </w:p>
    <w:p>
      <w:pPr>
        <w:spacing w:after="0" w:line="11" w:lineRule="exact"/>
        <w:rPr>
          <w:sz w:val="20"/>
          <w:szCs w:val="20"/>
          <w:color w:val="auto"/>
        </w:rPr>
      </w:pPr>
    </w:p>
    <w:p>
      <w:pPr>
        <w:jc w:val="center"/>
        <w:ind w:left="5100"/>
        <w:spacing w:after="0"/>
        <w:rPr>
          <w:sz w:val="20"/>
          <w:szCs w:val="20"/>
          <w:color w:val="auto"/>
        </w:rPr>
      </w:pPr>
      <w:r>
        <w:rPr>
          <w:rFonts w:ascii="Arial" w:cs="Arial" w:eastAsia="Arial" w:hAnsi="Arial"/>
          <w:sz w:val="14"/>
          <w:szCs w:val="14"/>
          <w:b w:val="1"/>
          <w:bCs w:val="1"/>
          <w:color w:val="auto"/>
        </w:rPr>
        <w:t>Andrew Anagnost</w:t>
      </w:r>
    </w:p>
    <w:p>
      <w:pPr>
        <w:spacing w:after="0" w:line="34" w:lineRule="exact"/>
        <w:rPr>
          <w:sz w:val="20"/>
          <w:szCs w:val="20"/>
          <w:color w:val="auto"/>
        </w:rPr>
      </w:pPr>
    </w:p>
    <w:p>
      <w:pPr>
        <w:jc w:val="center"/>
        <w:ind w:left="5100"/>
        <w:spacing w:after="0"/>
        <w:rPr>
          <w:sz w:val="20"/>
          <w:szCs w:val="20"/>
          <w:color w:val="auto"/>
        </w:rPr>
      </w:pPr>
      <w:r>
        <w:rPr>
          <w:rFonts w:ascii="Arial" w:cs="Arial" w:eastAsia="Arial" w:hAnsi="Arial"/>
          <w:sz w:val="14"/>
          <w:szCs w:val="14"/>
          <w:b w:val="1"/>
          <w:bCs w:val="1"/>
          <w:color w:val="auto"/>
        </w:rPr>
        <w:t>President and Chief Executive Officer</w:t>
      </w:r>
    </w:p>
    <w:p>
      <w:pPr>
        <w:spacing w:after="0" w:line="26" w:lineRule="exact"/>
        <w:rPr>
          <w:sz w:val="20"/>
          <w:szCs w:val="20"/>
          <w:color w:val="auto"/>
        </w:rPr>
      </w:pPr>
    </w:p>
    <w:p>
      <w:pPr>
        <w:jc w:val="center"/>
        <w:ind w:left="5100"/>
        <w:spacing w:after="0"/>
        <w:rPr>
          <w:sz w:val="20"/>
          <w:szCs w:val="20"/>
          <w:color w:val="auto"/>
        </w:rPr>
      </w:pPr>
      <w:r>
        <w:rPr>
          <w:rFonts w:ascii="Arial" w:cs="Arial" w:eastAsia="Arial" w:hAnsi="Arial"/>
          <w:sz w:val="14"/>
          <w:szCs w:val="14"/>
          <w:b w:val="1"/>
          <w:bCs w:val="1"/>
          <w:color w:val="auto"/>
        </w:rPr>
        <w:t>(Principal Executive Officer)</w:t>
      </w:r>
    </w:p>
    <w:p>
      <w:pPr>
        <w:spacing w:after="0" w:line="377" w:lineRule="exact"/>
        <w:rPr>
          <w:sz w:val="20"/>
          <w:szCs w:val="20"/>
          <w:color w:val="auto"/>
        </w:rPr>
      </w:pPr>
    </w:p>
    <w:p>
      <w:pPr>
        <w:ind w:right="140" w:firstLine="281"/>
        <w:spacing w:after="0" w:line="253" w:lineRule="auto"/>
        <w:rPr>
          <w:sz w:val="20"/>
          <w:szCs w:val="20"/>
          <w:color w:val="auto"/>
        </w:rPr>
      </w:pPr>
      <w:r>
        <w:rPr>
          <w:rFonts w:ascii="Arial" w:cs="Arial" w:eastAsia="Arial" w:hAnsi="Arial"/>
          <w:sz w:val="15"/>
          <w:szCs w:val="15"/>
          <w:color w:val="auto"/>
        </w:rPr>
        <w:t>Based on my knowledge, I, Deborah L. Clifford, certify, pursuant to 18 U.S.C. Section 1350, as adopted pursuant to Section 906 of the Sarbanes-Oxley Act of 2002, that the Quarterly Report of Autodesk, Inc. on Form 10-Q for the quarterly period ended April 30, 2023, fully complies with the requirements of Section 13(a) or 15(d) of the Securities Exchange Act of 1934 and that information contained in such Form 10-Q fairly presents in all material respects the financial condition and results of operations of Autodesk, Inc.</w:t>
      </w:r>
    </w:p>
    <w:p>
      <w:pPr>
        <w:spacing w:after="0" w:line="46" w:lineRule="exact"/>
        <w:rPr>
          <w:sz w:val="20"/>
          <w:szCs w:val="20"/>
          <w:color w:val="auto"/>
        </w:rPr>
      </w:pPr>
    </w:p>
    <w:p>
      <w:pPr>
        <w:spacing w:after="0"/>
        <w:rPr>
          <w:sz w:val="20"/>
          <w:szCs w:val="20"/>
          <w:color w:val="auto"/>
        </w:rPr>
      </w:pPr>
      <w:r>
        <w:rPr>
          <w:rFonts w:ascii="Arial" w:cs="Arial" w:eastAsia="Arial" w:hAnsi="Arial"/>
          <w:sz w:val="15"/>
          <w:szCs w:val="15"/>
          <w:color w:val="auto"/>
        </w:rPr>
        <w:t>Dated: June 1, 2023</w:t>
      </w:r>
    </w:p>
    <w:p>
      <w:pPr>
        <w:spacing w:after="0" w:line="109" w:lineRule="exact"/>
        <w:rPr>
          <w:sz w:val="20"/>
          <w:szCs w:val="20"/>
          <w:color w:val="auto"/>
        </w:rPr>
      </w:pPr>
    </w:p>
    <w:p>
      <w:pPr>
        <w:jc w:val="center"/>
        <w:ind w:left="5220"/>
        <w:spacing w:after="0"/>
        <w:rPr>
          <w:sz w:val="20"/>
          <w:szCs w:val="20"/>
          <w:color w:val="auto"/>
        </w:rPr>
      </w:pPr>
      <w:r>
        <w:rPr>
          <w:rFonts w:ascii="Arial" w:cs="Arial" w:eastAsia="Arial" w:hAnsi="Arial"/>
          <w:sz w:val="15"/>
          <w:szCs w:val="15"/>
          <w:color w:val="auto"/>
        </w:rPr>
        <w:t>/s/ DEBORAH L. CLIFFORD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3328035</wp:posOffset>
            </wp:positionH>
            <wp:positionV relativeFrom="paragraph">
              <wp:posOffset>13970</wp:posOffset>
            </wp:positionV>
            <wp:extent cx="3385185" cy="762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3385185" cy="7620"/>
                    </a:xfrm>
                    <a:prstGeom prst="rect">
                      <a:avLst/>
                    </a:prstGeom>
                    <a:noFill/>
                  </pic:spPr>
                </pic:pic>
              </a:graphicData>
            </a:graphic>
          </wp:anchor>
        </w:drawing>
      </w:r>
    </w:p>
    <w:p>
      <w:pPr>
        <w:spacing w:after="0" w:line="11" w:lineRule="exact"/>
        <w:rPr>
          <w:sz w:val="20"/>
          <w:szCs w:val="20"/>
          <w:color w:val="auto"/>
        </w:rPr>
      </w:pPr>
    </w:p>
    <w:p>
      <w:pPr>
        <w:jc w:val="center"/>
        <w:ind w:left="5240"/>
        <w:spacing w:after="0"/>
        <w:rPr>
          <w:sz w:val="20"/>
          <w:szCs w:val="20"/>
          <w:color w:val="auto"/>
        </w:rPr>
      </w:pPr>
      <w:r>
        <w:rPr>
          <w:rFonts w:ascii="Arial" w:cs="Arial" w:eastAsia="Arial" w:hAnsi="Arial"/>
          <w:sz w:val="14"/>
          <w:szCs w:val="14"/>
          <w:b w:val="1"/>
          <w:bCs w:val="1"/>
          <w:color w:val="auto"/>
        </w:rPr>
        <w:t>Deborah L. Clifford</w:t>
      </w:r>
    </w:p>
    <w:p>
      <w:pPr>
        <w:spacing w:after="0" w:line="34" w:lineRule="exact"/>
        <w:rPr>
          <w:sz w:val="20"/>
          <w:szCs w:val="20"/>
          <w:color w:val="auto"/>
        </w:rPr>
      </w:pPr>
    </w:p>
    <w:p>
      <w:pPr>
        <w:jc w:val="center"/>
        <w:ind w:left="5260"/>
        <w:spacing w:after="0"/>
        <w:rPr>
          <w:sz w:val="20"/>
          <w:szCs w:val="20"/>
          <w:color w:val="auto"/>
        </w:rPr>
      </w:pPr>
      <w:r>
        <w:rPr>
          <w:rFonts w:ascii="Arial" w:cs="Arial" w:eastAsia="Arial" w:hAnsi="Arial"/>
          <w:sz w:val="14"/>
          <w:szCs w:val="14"/>
          <w:b w:val="1"/>
          <w:bCs w:val="1"/>
          <w:color w:val="auto"/>
        </w:rPr>
        <w:t>Executive Vice President and Chief Financial Officer</w:t>
      </w:r>
    </w:p>
    <w:p>
      <w:pPr>
        <w:spacing w:after="0" w:line="26" w:lineRule="exact"/>
        <w:rPr>
          <w:sz w:val="20"/>
          <w:szCs w:val="20"/>
          <w:color w:val="auto"/>
        </w:rPr>
      </w:pPr>
    </w:p>
    <w:p>
      <w:pPr>
        <w:jc w:val="center"/>
        <w:ind w:left="5240"/>
        <w:spacing w:after="0"/>
        <w:rPr>
          <w:sz w:val="20"/>
          <w:szCs w:val="20"/>
          <w:color w:val="auto"/>
        </w:rPr>
      </w:pPr>
      <w:r>
        <w:rPr>
          <w:rFonts w:ascii="Arial" w:cs="Arial" w:eastAsia="Arial" w:hAnsi="Arial"/>
          <w:sz w:val="14"/>
          <w:szCs w:val="14"/>
          <w:b w:val="1"/>
          <w:bCs w:val="1"/>
          <w:color w:val="auto"/>
        </w:rPr>
        <w:t>(Principal Financial Officer)</w:t>
      </w:r>
    </w:p>
    <w:p>
      <w:pPr>
        <w:sectPr>
          <w:pgSz w:w="11900" w:h="16840" w:orient="portrait"/>
          <w:cols w:equalWidth="0" w:num="1">
            <w:col w:w="10580"/>
          </w:cols>
          <w:pgMar w:left="660" w:top="1292" w:right="660" w:bottom="1440" w:gutter="0" w:footer="0" w:header="0"/>
        </w:sectPr>
      </w:pPr>
    </w:p>
    <w:bookmarkStart w:id="72" w:name="page73"/>
    <w:bookmarkEnd w:id="72"/>
    <w:sectPr>
      <w:pgSz w:w="11900" w:h="16840"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C83E458"/>
    <w:multiLevelType w:val="hybridMultilevel"/>
    <w:lvl w:ilvl="0">
      <w:lvlJc w:val="left"/>
      <w:lvlText w:val="☒"/>
      <w:numFmt w:val="bullet"/>
      <w:start w:val="1"/>
    </w:lvl>
  </w:abstractNum>
  <w:abstractNum w:abstractNumId="1">
    <w:nsid w:val="257130A3"/>
    <w:multiLevelType w:val="hybridMultilevel"/>
    <w:lvl w:ilvl="0">
      <w:lvlJc w:val="left"/>
      <w:lvlText w:val="☐"/>
      <w:numFmt w:val="bullet"/>
      <w:start w:val="1"/>
    </w:lvl>
  </w:abstractNum>
  <w:abstractNum w:abstractNumId="2">
    <w:nsid w:val="62BBD95A"/>
    <w:multiLevelType w:val="hybridMultilevel"/>
    <w:lvl w:ilvl="0">
      <w:lvlJc w:val="left"/>
      <w:lvlText w:val="(%1)"/>
      <w:numFmt w:val="decimal"/>
      <w:start w:val="1"/>
    </w:lvl>
  </w:abstractNum>
  <w:abstractNum w:abstractNumId="3">
    <w:nsid w:val="436C6125"/>
    <w:multiLevelType w:val="hybridMultilevel"/>
    <w:lvl w:ilvl="0">
      <w:lvlJc w:val="left"/>
      <w:lvlText w:val="(%1)"/>
      <w:numFmt w:val="decimal"/>
      <w:start w:val="1"/>
    </w:lvl>
  </w:abstractNum>
  <w:abstractNum w:abstractNumId="4">
    <w:nsid w:val="628C895D"/>
    <w:multiLevelType w:val="hybridMultilevel"/>
    <w:lvl w:ilvl="0">
      <w:lvlJc w:val="left"/>
      <w:lvlText w:val="(%1)"/>
      <w:numFmt w:val="decimal"/>
      <w:start w:val="1"/>
    </w:lvl>
  </w:abstractNum>
  <w:abstractNum w:abstractNumId="5">
    <w:nsid w:val="333AB105"/>
    <w:multiLevelType w:val="hybridMultilevel"/>
    <w:lvl w:ilvl="0">
      <w:lvlJc w:val="left"/>
      <w:lvlText w:val="(%1)"/>
      <w:numFmt w:val="decimal"/>
      <w:start w:val="1"/>
    </w:lvl>
  </w:abstractNum>
  <w:abstractNum w:abstractNumId="6">
    <w:nsid w:val="721DA317"/>
    <w:multiLevelType w:val="hybridMultilevel"/>
    <w:lvl w:ilvl="0">
      <w:lvlJc w:val="left"/>
      <w:lvlText w:val="(%1)"/>
      <w:numFmt w:val="decimal"/>
      <w:start w:val="1"/>
    </w:lvl>
  </w:abstractNum>
  <w:abstractNum w:abstractNumId="7">
    <w:nsid w:val="2443A858"/>
    <w:multiLevelType w:val="hybridMultilevel"/>
    <w:lvl w:ilvl="0">
      <w:lvlJc w:val="left"/>
      <w:lvlText w:val="%1."/>
      <w:numFmt w:val="decimal"/>
      <w:start w:val="6"/>
    </w:lvl>
  </w:abstractNum>
  <w:abstractNum w:abstractNumId="8">
    <w:nsid w:val="2D1D5AE9"/>
    <w:multiLevelType w:val="hybridMultilevel"/>
    <w:lvl w:ilvl="0">
      <w:lvlJc w:val="left"/>
      <w:lvlText w:val="(%1)"/>
      <w:numFmt w:val="decimal"/>
      <w:start w:val="1"/>
    </w:lvl>
  </w:abstractNum>
  <w:abstractNum w:abstractNumId="9">
    <w:nsid w:val="6763845E"/>
    <w:multiLevelType w:val="hybridMultilevel"/>
    <w:lvl w:ilvl="0">
      <w:lvlJc w:val="left"/>
      <w:lvlText w:val="•"/>
      <w:numFmt w:val="bullet"/>
      <w:start w:val="1"/>
    </w:lvl>
  </w:abstractNum>
  <w:abstractNum w:abstractNumId="10">
    <w:nsid w:val="75A2A8D4"/>
    <w:multiLevelType w:val="hybridMultilevel"/>
    <w:lvl w:ilvl="0">
      <w:lvlJc w:val="left"/>
      <w:lvlText w:val="(%1)"/>
      <w:numFmt w:val="decimal"/>
      <w:start w:val="1"/>
    </w:lvl>
  </w:abstractNum>
  <w:abstractNum w:abstractNumId="11">
    <w:nsid w:val="8EDBDAB"/>
    <w:multiLevelType w:val="hybridMultilevel"/>
    <w:lvl w:ilvl="0">
      <w:lvlJc w:val="left"/>
      <w:lvlText w:val="(%1)"/>
      <w:numFmt w:val="decimal"/>
      <w:start w:val="1"/>
    </w:lvl>
  </w:abstractNum>
  <w:abstractNum w:abstractNumId="12">
    <w:nsid w:val="79838CB2"/>
    <w:multiLevelType w:val="hybridMultilevel"/>
    <w:lvl w:ilvl="0">
      <w:lvlJc w:val="left"/>
      <w:lvlText w:val="(%1)"/>
      <w:numFmt w:val="decimal"/>
      <w:start w:val="1"/>
    </w:lvl>
  </w:abstractNum>
  <w:abstractNum w:abstractNumId="13">
    <w:nsid w:val="4353D0CD"/>
    <w:multiLevelType w:val="hybridMultilevel"/>
    <w:lvl w:ilvl="0">
      <w:lvlJc w:val="left"/>
      <w:lvlText w:val="(%1)"/>
      <w:numFmt w:val="decimal"/>
      <w:start w:val="1"/>
    </w:lvl>
  </w:abstractNum>
  <w:abstractNum w:abstractNumId="14">
    <w:nsid w:val="B03E0C6"/>
    <w:multiLevelType w:val="hybridMultilevel"/>
    <w:lvl w:ilvl="0">
      <w:lvlJc w:val="left"/>
      <w:lvlText w:val="(%1)"/>
      <w:numFmt w:val="decimal"/>
      <w:start w:val="1"/>
    </w:lvl>
  </w:abstractNum>
  <w:abstractNum w:abstractNumId="15">
    <w:nsid w:val="189A769B"/>
    <w:multiLevelType w:val="hybridMultilevel"/>
    <w:lvl w:ilvl="0">
      <w:lvlJc w:val="left"/>
      <w:lvlText w:val="•"/>
      <w:numFmt w:val="bullet"/>
      <w:start w:val="1"/>
    </w:lvl>
  </w:abstractNum>
  <w:abstractNum w:abstractNumId="16">
    <w:nsid w:val="54E49EB4"/>
    <w:multiLevelType w:val="hybridMultilevel"/>
    <w:lvl w:ilvl="0">
      <w:lvlJc w:val="left"/>
      <w:lvlText w:val="(%1)"/>
      <w:numFmt w:val="decimal"/>
      <w:start w:val="1"/>
    </w:lvl>
  </w:abstractNum>
  <w:abstractNum w:abstractNumId="17">
    <w:nsid w:val="71F32454"/>
    <w:multiLevelType w:val="hybridMultilevel"/>
    <w:lvl w:ilvl="0">
      <w:lvlJc w:val="left"/>
      <w:lvlText w:val="(%1)"/>
      <w:numFmt w:val="decimal"/>
      <w:start w:val="1"/>
    </w:lvl>
  </w:abstractNum>
  <w:abstractNum w:abstractNumId="18">
    <w:nsid w:val="2CA88611"/>
    <w:multiLevelType w:val="hybridMultilevel"/>
    <w:lvl w:ilvl="0">
      <w:lvlJc w:val="left"/>
      <w:lvlText w:val="(%1)"/>
      <w:numFmt w:val="decimal"/>
      <w:start w:val="1"/>
    </w:lvl>
  </w:abstractNum>
  <w:abstractNum w:abstractNumId="19">
    <w:nsid w:val="836C40E"/>
    <w:multiLevelType w:val="hybridMultilevel"/>
    <w:lvl w:ilvl="0">
      <w:lvlJc w:val="left"/>
      <w:lvlText w:val="(%1)"/>
      <w:numFmt w:val="decimal"/>
      <w:start w:val="1"/>
    </w:lvl>
  </w:abstractNum>
  <w:abstractNum w:abstractNumId="20">
    <w:nsid w:val="2901D82"/>
    <w:multiLevelType w:val="hybridMultilevel"/>
    <w:lvl w:ilvl="0">
      <w:lvlJc w:val="left"/>
      <w:lvlText w:val="(%1)"/>
      <w:numFmt w:val="decimal"/>
      <w:start w:val="1"/>
    </w:lvl>
  </w:abstractNum>
  <w:abstractNum w:abstractNumId="21">
    <w:nsid w:val="3A95F874"/>
    <w:multiLevelType w:val="hybridMultilevel"/>
    <w:lvl w:ilvl="0">
      <w:lvlJc w:val="left"/>
      <w:lvlText w:val="(%1)"/>
      <w:numFmt w:val="lowerRoman"/>
      <w:start w:val="1"/>
    </w:lvl>
  </w:abstractNum>
  <w:abstractNum w:abstractNumId="22">
    <w:nsid w:val="8138641"/>
    <w:multiLevelType w:val="hybridMultilevel"/>
    <w:lvl w:ilvl="0">
      <w:lvlJc w:val="left"/>
      <w:lvlText w:val="•"/>
      <w:numFmt w:val="bullet"/>
      <w:start w:val="1"/>
    </w:lvl>
  </w:abstractNum>
  <w:abstractNum w:abstractNumId="23">
    <w:nsid w:val="1E7FF521"/>
    <w:multiLevelType w:val="hybridMultilevel"/>
    <w:lvl w:ilvl="0">
      <w:lvlJc w:val="left"/>
      <w:lvlText w:val="•"/>
      <w:numFmt w:val="bullet"/>
      <w:start w:val="1"/>
    </w:lvl>
  </w:abstractNum>
  <w:abstractNum w:abstractNumId="24">
    <w:nsid w:val="7C3DBD3D"/>
    <w:multiLevelType w:val="hybridMultilevel"/>
    <w:lvl w:ilvl="0">
      <w:lvlJc w:val="left"/>
      <w:lvlText w:val="•"/>
      <w:numFmt w:val="bullet"/>
      <w:start w:val="1"/>
    </w:lvl>
  </w:abstractNum>
  <w:abstractNum w:abstractNumId="25">
    <w:nsid w:val="737B8DDC"/>
    <w:multiLevelType w:val="hybridMultilevel"/>
    <w:lvl w:ilvl="0">
      <w:lvlJc w:val="left"/>
      <w:lvlText w:val="•"/>
      <w:numFmt w:val="bullet"/>
      <w:start w:val="1"/>
    </w:lvl>
  </w:abstractNum>
  <w:abstractNum w:abstractNumId="26">
    <w:nsid w:val="6CEAF087"/>
    <w:multiLevelType w:val="hybridMultilevel"/>
    <w:lvl w:ilvl="0">
      <w:lvlJc w:val="left"/>
      <w:lvlText w:val="•"/>
      <w:numFmt w:val="bullet"/>
      <w:start w:val="1"/>
    </w:lvl>
  </w:abstractNum>
  <w:abstractNum w:abstractNumId="27">
    <w:nsid w:val="22221A70"/>
    <w:multiLevelType w:val="hybridMultilevel"/>
    <w:lvl w:ilvl="0">
      <w:lvlJc w:val="left"/>
      <w:lvlText w:val="•"/>
      <w:numFmt w:val="bullet"/>
      <w:start w:val="1"/>
    </w:lvl>
  </w:abstractNum>
  <w:abstractNum w:abstractNumId="28">
    <w:nsid w:val="4516DDE9"/>
    <w:multiLevelType w:val="hybridMultilevel"/>
    <w:lvl w:ilvl="0">
      <w:lvlJc w:val="left"/>
      <w:lvlText w:val="•"/>
      <w:numFmt w:val="bullet"/>
      <w:start w:val="1"/>
    </w:lvl>
  </w:abstractNum>
  <w:abstractNum w:abstractNumId="29">
    <w:nsid w:val="3006C83E"/>
    <w:multiLevelType w:val="hybridMultilevel"/>
    <w:lvl w:ilvl="0">
      <w:lvlJc w:val="left"/>
      <w:lvlText w:val="•"/>
      <w:numFmt w:val="bullet"/>
      <w:start w:val="1"/>
    </w:lvl>
  </w:abstractNum>
  <w:abstractNum w:abstractNumId="30">
    <w:nsid w:val="614FD4A1"/>
    <w:multiLevelType w:val="hybridMultilevel"/>
    <w:lvl w:ilvl="0">
      <w:lvlJc w:val="left"/>
      <w:lvlText w:val="•"/>
      <w:numFmt w:val="bullet"/>
      <w:start w:val="1"/>
    </w:lvl>
  </w:abstractNum>
  <w:abstractNum w:abstractNumId="31">
    <w:nsid w:val="419AC241"/>
    <w:multiLevelType w:val="hybridMultilevel"/>
    <w:lvl w:ilvl="0">
      <w:lvlJc w:val="left"/>
      <w:lvlText w:val="•"/>
      <w:numFmt w:val="bullet"/>
      <w:start w:val="1"/>
    </w:lvl>
  </w:abstractNum>
  <w:abstractNum w:abstractNumId="32">
    <w:nsid w:val="5577F8E1"/>
    <w:multiLevelType w:val="hybridMultilevel"/>
    <w:lvl w:ilvl="0">
      <w:lvlJc w:val="left"/>
      <w:lvlText w:val="*"/>
      <w:numFmt w:val="bullet"/>
      <w:start w:val="1"/>
    </w:lvl>
    <w:lvl w:ilvl="1">
      <w:lvlJc w:val="left"/>
      <w:lvlText w:val="%2"/>
      <w:numFmt w:val="decimal"/>
      <w:start w:val="101"/>
    </w:lvl>
  </w:abstractNum>
  <w:abstractNum w:abstractNumId="33">
    <w:nsid w:val="440BADFC"/>
    <w:multiLevelType w:val="hybridMultilevel"/>
    <w:lvl w:ilvl="0">
      <w:lvlJc w:val="left"/>
      <w:lvlText w:val="†"/>
      <w:numFmt w:val="bullet"/>
      <w:start w:val="1"/>
    </w:lvl>
  </w:abstractNum>
  <w:abstractNum w:abstractNumId="34">
    <w:nsid w:val="5072367"/>
    <w:multiLevelType w:val="hybridMultilevel"/>
    <w:lvl w:ilvl="0">
      <w:lvlJc w:val="left"/>
      <w:lvlText w:val="††"/>
      <w:numFmt w:val="bullet"/>
      <w:start w:val="1"/>
    </w:lvl>
  </w:abstractNum>
  <w:abstractNum w:abstractNumId="35">
    <w:nsid w:val="3804823E"/>
    <w:multiLevelType w:val="hybridMultilevel"/>
    <w:lvl w:ilvl="0">
      <w:lvlJc w:val="left"/>
      <w:lvlText w:val="%1."/>
      <w:numFmt w:val="decimal"/>
      <w:start w:val="1"/>
    </w:lvl>
    <w:lvl w:ilvl="1">
      <w:lvlJc w:val="left"/>
      <w:lvlText w:val="%2)"/>
      <w:numFmt w:val="lowerLetter"/>
      <w:start w:val="1"/>
    </w:lvl>
  </w:abstractNum>
  <w:abstractNum w:abstractNumId="36">
    <w:nsid w:val="77465F01"/>
    <w:multiLevelType w:val="hybridMultilevel"/>
    <w:lvl w:ilvl="0">
      <w:lvlJc w:val="left"/>
      <w:lvlText w:val="%1."/>
      <w:numFmt w:val="decimal"/>
      <w:start w:val="1"/>
    </w:lvl>
    <w:lvl w:ilvl="1">
      <w:lvlJc w:val="left"/>
      <w:lvlText w:val="%2)"/>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2023-06-02T16:57:39Z</dcterms:created>
  <dcterms:modified xsi:type="dcterms:W3CDTF">2023-06-02T16:57:39Z</dcterms:modified>
</cp:coreProperties>
</file>