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30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July 31, 2025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28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20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August 26, 2025, registrant had outstanding 213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5"/>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7"/>
            <w:vMerge w:val="continue"/>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and Six Months Ended July 31, 2025 and 2024</w:t>
            </w:r>
          </w:p>
        </w:tc>
        <w:tc>
          <w:tcPr>
            <w:tcW w:w="92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and Six Months Ended July 31, 2025 and 2024</w:t>
            </w:r>
          </w:p>
        </w:tc>
        <w:tc>
          <w:tcPr>
            <w:tcW w:w="2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5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Balance Sheets as of July 31, 2025 and January 31, 2025</w:t>
            </w:r>
          </w:p>
        </w:tc>
        <w:tc>
          <w:tcPr>
            <w:tcW w:w="3000" w:type="dxa"/>
            <w:vAlign w:val="bottom"/>
            <w:gridSpan w:val="6"/>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7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Six Months Ended July 31, 2025 and 2024</w:t>
            </w:r>
          </w:p>
        </w:tc>
        <w:tc>
          <w:tcPr>
            <w:tcW w:w="162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shd w:val="clear" w:color="auto" w:fill="CCEEFF"/>
          </w:tcPr>
          <w:p>
            <w:pPr>
              <w:spacing w:after="0"/>
              <w:rPr>
                <w:sz w:val="17"/>
                <w:szCs w:val="17"/>
                <w:color w:val="auto"/>
              </w:rPr>
            </w:pPr>
          </w:p>
        </w:tc>
        <w:tc>
          <w:tcPr>
            <w:tcW w:w="22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gridSpan w:val="4"/>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84"/>
        </w:trPr>
        <w:tc>
          <w:tcPr>
            <w:tcW w:w="58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8"/>
                <w:szCs w:val="18"/>
                <w:color w:val="auto"/>
              </w:rPr>
            </w:pPr>
          </w:p>
        </w:tc>
        <w:tc>
          <w:tcPr>
            <w:tcW w:w="800" w:type="dxa"/>
            <w:vAlign w:val="bottom"/>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1,408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2"/>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19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8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3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Net loss on derivative instruments (net of tax effect of $1, $1, $3, and $1,</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w w:val="98"/>
              </w:rPr>
              <w:t>Change in net unrealized loss on available-for-sale debt securities (net of tax effect of</w:t>
            </w:r>
          </w:p>
        </w:tc>
        <w:tc>
          <w:tcPr>
            <w:tcW w:w="880" w:type="dxa"/>
            <w:vAlign w:val="bottom"/>
          </w:tcPr>
          <w:p>
            <w:pPr>
              <w:spacing w:after="0"/>
              <w:rPr>
                <w:sz w:val="13"/>
                <w:szCs w:val="13"/>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zero for all periods presented)</w:t>
            </w:r>
          </w:p>
        </w:tc>
        <w:tc>
          <w:tcPr>
            <w:tcW w:w="8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Change in defined benefit pension items (net of tax effect of zero for all periods</w:t>
            </w:r>
          </w:p>
        </w:tc>
        <w:tc>
          <w:tcPr>
            <w:tcW w:w="8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presented)</w:t>
            </w:r>
          </w:p>
        </w:tc>
        <w:tc>
          <w:tcPr>
            <w:tcW w:w="88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w w:val="99"/>
              </w:rPr>
              <w:t>Net change in cumulative foreign currency translation gain (loss) (net of tax effect of</w:t>
            </w:r>
          </w:p>
        </w:tc>
        <w:tc>
          <w:tcPr>
            <w:tcW w:w="880" w:type="dxa"/>
            <w:vAlign w:val="bottom"/>
          </w:tcPr>
          <w:p>
            <w:pPr>
              <w:spacing w:after="0"/>
              <w:rPr>
                <w:sz w:val="13"/>
                <w:szCs w:val="13"/>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5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 zero, $(5), and zero, respectively)</w:t>
            </w:r>
          </w:p>
        </w:tc>
        <w:tc>
          <w:tcPr>
            <w:tcW w:w="8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3,489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10,856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324</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2,715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10,856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debt, net of discount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debt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7"/>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common stock</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July 31, 2025, and for the three and six months ended July 31, 2025 and 2024,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2025, are not necessarily indicative of the results for the entire fiscal year ending January 31, 2026, or for any other period. Further, the balance sheet as of January 31, 2025,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2025, filed on March 6,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4"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With the exception of those discussed below, there have been no recent changes in accounting pronouncements issued by the Financial Accounting Standards Board (“FASB”) or adopted by the Company during the six months ended July 31, 2025, that are applicable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42" w:lineRule="exact"/>
        <w:rPr>
          <w:sz w:val="20"/>
          <w:szCs w:val="20"/>
          <w:color w:val="auto"/>
        </w:rPr>
      </w:pPr>
    </w:p>
    <w:p>
      <w:pPr>
        <w:ind w:right="140" w:firstLine="395"/>
        <w:spacing w:after="0" w:line="278"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3"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Autodesk will provide the new disclosures required by ASU 2023-09 beginning with its annual financial statements for the fiscal year ending January 31, 2026.</w:t>
      </w:r>
    </w:p>
    <w:p>
      <w:pPr>
        <w:spacing w:after="0" w:line="212" w:lineRule="exact"/>
        <w:rPr>
          <w:sz w:val="20"/>
          <w:szCs w:val="20"/>
          <w:color w:val="auto"/>
        </w:rPr>
      </w:pPr>
    </w:p>
    <w:p>
      <w:pPr>
        <w:ind w:right="60" w:firstLine="434"/>
        <w:spacing w:after="0" w:line="249"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Autodesk adopted the annual disclosures of ASU 2023-07 for our fiscal year ended January 31, 2025 and adopted for interim periods beginning February 1,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fees for maintenance purchased with software licenses, and (3) consulting and other products and services. The three categories are presented as line items on Autodesk’s Condensed Consolidated Statements of Operations.</w:t>
      </w:r>
    </w:p>
    <w:p>
      <w:pPr>
        <w:spacing w:after="0" w:line="206"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Construction and Operations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09"/>
        </w:trPr>
        <w:tc>
          <w:tcPr>
            <w:tcW w:w="5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06"/>
        </w:trPr>
        <w:tc>
          <w:tcPr>
            <w:tcW w:w="5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480" w:firstLine="395"/>
        <w:spacing w:after="0" w:line="332" w:lineRule="auto"/>
        <w:rPr>
          <w:sz w:val="20"/>
          <w:szCs w:val="20"/>
          <w:color w:val="auto"/>
        </w:rPr>
      </w:pPr>
      <w:r>
        <w:rPr>
          <w:rFonts w:ascii="Times New Roman" w:cs="Times New Roman" w:eastAsia="Times New Roman" w:hAnsi="Times New Roman"/>
          <w:sz w:val="16"/>
          <w:szCs w:val="16"/>
          <w:color w:val="auto"/>
        </w:rPr>
        <w:t>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w:t>
      </w:r>
    </w:p>
    <w:p>
      <w:pPr>
        <w:spacing w:after="0" w:line="149"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July 31, 2025, Autodesk had remaining performance obligations of $7.30 billion, which represents the total transaction price allocated to remaining performance obligations, which are generally recognized over the next three years. We expect to recognize $4.68 billion or 64% of our remaining performance obligations as revenue during the next 12 months. We expect to recognize the remaining $2.62 billion or 36% of our remaining performance obligations as revenue thereafter.</w:t>
      </w:r>
    </w:p>
    <w:p>
      <w:pPr>
        <w:spacing w:after="0" w:line="21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July 31, 2025. Deferred revenue relates to billings in advance of performance under the contract. The primary changes in our contract assets and deferred revenues are due to our performance under the contracts and billings.</w:t>
      </w:r>
    </w:p>
    <w:p>
      <w:pPr>
        <w:spacing w:after="0" w:line="20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recognized during the three months ended July 31, 2025 and 2024, that was included in the deferred revenue balances at January 31, 2025 and 2024, was $1.14 billion and $1.02 billion, respectively. Revenue recognized during the six months ended July 31, 2025 and 2024, that was included in the deferred revenue balances at January 31, 2025 and 2024, was $2.48 billion and $2.21 billion, respectively. The satisfaction of performance obligations typically lags behind payments received under revenue contracts from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acts as administrative agent and a lender under Autodesk’s $1.5 billion revolving credit facility. See Note 13, “Borrowing Arrangements,” in the Notes to Condensed Consolidated Financial Statements for further discussion.</w:t>
      </w:r>
    </w:p>
    <w:p>
      <w:pPr>
        <w:spacing w:after="0" w:line="212"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Total revenue from the Company's largest distributor TD Synnex Corporation and its global affiliates (“TD Synnex”) accounted for 16% and 18% of Autodesk’s total net revenue during the three and six months ended July 31, 2025, respectively. Total revenue from TD Synnex accounted for 36% and 37% of Autodesk’s total net revenue during the three and six months ended July 31, 2024, respectively. The majority of the net revenue from sales to TD Synnex is from sales outside of the United States. In addition, TD Synnex accounted for 9% and 5% of trade accounts receivable at July 31, 2025, and January 31, 2025,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as of July 31, 2025, and January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0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31"/>
        </w:trPr>
        <w:tc>
          <w:tcPr>
            <w:tcW w:w="6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asset backed securities.</w:t>
      </w: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U.S. treasury bonds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collateralized mortgage obligations, supranational bonds, and sovereign government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1"/>
        </w:trPr>
        <w:tc>
          <w:tcPr>
            <w:tcW w:w="6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agency mortgage-backed securities, mortgage-backed securities, and U.S. treasury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collateralized mortgage obligations and supranational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23"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the fair values of investments classified as marketable debt securities by contractual maturity date as of July 31,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both July 31, 2025, and January 31, 2025,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six months ended July 31, 2025.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2" w:name="page13"/>
    <w:bookmarkEnd w:id="12"/>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July 31, 2025, and January 31, 2025. There were no write offs of accrued interest receivables for both the six months ended July 31, 2025 and 2024.</w:t>
      </w:r>
    </w:p>
    <w:p>
      <w:pPr>
        <w:spacing w:after="0" w:line="206"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gains or losses for the sales or redemptions of marketable debt securities during both the six months ended July 31, 2025 and 2024. Realized gains and losses from the sales or redemptions of marketable debt securities are recorded in “Interest and other income, net” on the Company's Condensed Consolidated Statements of Operations.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from the sale and maturity of marketable debt securities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32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debt securities</w:t>
            </w:r>
          </w:p>
        </w:tc>
        <w:tc>
          <w:tcPr>
            <w:tcW w:w="90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As of July 31, 2025, and January 31, 2025, Autodesk had $167 million and $168 million in direct investments in privately held companies, respectively.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income,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180" w:type="dxa"/>
            <w:vAlign w:val="bottom"/>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July 31, 2025</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6"/>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bl>
    <w:p>
      <w:pPr>
        <w:spacing w:after="0" w:line="297"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Realized gains for the disposition of strategic investment equity securities for both the three and six months ended July 31, 2025 and 2024 were immaterial.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and January 31, 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Mutual funds (5)(6)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1"/>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asset backed securities.</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U.S. treasury bonds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collateralized mortgage obligations, supranational bonds, and sovereign government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Mutual funds (5) (6)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1"/>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agency mortgage-backed securities, mortgage-backed securities, and U.S. treasury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collateralized mortgage obligations and supranational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200" w:right="9460" w:hanging="195"/>
        <w:spacing w:after="0" w:line="586" w:lineRule="auto"/>
        <w:tabs>
          <w:tab w:leader="none" w:pos="178"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six months ended July 31, 2025,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229.09</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275.23</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July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40" w:hanging="395"/>
        <w:spacing w:after="0" w:line="252"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2025 performance period. The performance stock units were attained at rates ranging from 95% to 108%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six months ended July 31, 2025 and 2024, was $580 million and $514 million, respectively.</w:t>
      </w:r>
    </w:p>
    <w:p>
      <w:pPr>
        <w:spacing w:after="0" w:line="240"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July 31, 2025, Autodesk granted 2 million restricted stock units. Restricted stock units are not considered outstanding stock at the time of grant, as the holders of these units are not entitled to any of the rights of a stockholder, including voting rights.</w:t>
      </w:r>
    </w:p>
    <w:p>
      <w:pPr>
        <w:spacing w:after="0" w:line="196"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$158 million and $153 million during the three months ended July 31, 2025 and 2024, respectively. Autodesk recorded stock-based compensation expense related to restricted stock units of $298 million and $280 million during the six months ended July 31, 2025 and 2024, respectively.</w:t>
      </w:r>
    </w:p>
    <w:p>
      <w:pPr>
        <w:spacing w:after="0" w:line="206"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During the six months ended July 31, 2025, Autodesk granted 332 thousand performance stock units for which the ultimate number of shares earned is determined based on the achievement of performance criteria at the end of the stated performance and service period. The performance criteria for the majority of the performance stock units are based on revenue and non-GAAP operating income less stock-based compensation expense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spacing w:after="0" w:line="212" w:lineRule="exact"/>
        <w:rPr>
          <w:sz w:val="20"/>
          <w:szCs w:val="20"/>
          <w:color w:val="auto"/>
        </w:rPr>
      </w:pPr>
    </w:p>
    <w:p>
      <w:pPr>
        <w:ind w:left="640" w:right="6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2026 as well as 1-year Relative TSR (covering year one) or vest following year three depending the achievement of the performance criteria for fiscal 2026 as well as a 3-year Relative TSR (covering years one, two and three).</w:t>
      </w:r>
    </w:p>
    <w:p>
      <w:pPr>
        <w:spacing w:after="0" w:line="206"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fiscal 2027 as well as 2-year Relative TSR (covering years one and two) or vest following year three depending the achievement of the performance criteria for fiscal 2027 as well as a 3-year Relative TSR (covering years one, two and three).</w:t>
      </w:r>
    </w:p>
    <w:p>
      <w:pPr>
        <w:spacing w:after="0" w:line="206" w:lineRule="exact"/>
        <w:rPr>
          <w:rFonts w:ascii="Times New Roman" w:cs="Times New Roman" w:eastAsia="Times New Roman" w:hAnsi="Times New Roman"/>
          <w:sz w:val="18"/>
          <w:szCs w:val="18"/>
          <w:color w:val="auto"/>
        </w:rPr>
      </w:pPr>
    </w:p>
    <w:p>
      <w:pPr>
        <w:jc w:val="both"/>
        <w:ind w:left="640" w:right="18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fiscal 2028 as well as 3-year Relative TSR (covering years one, two and three) or vest following year three depending the achievement of the performance criteria for fiscal 2028 as well as a 3-year Relative TSR (covering years one, two and three).</w:t>
      </w:r>
    </w:p>
    <w:p>
      <w:pPr>
        <w:spacing w:after="0" w:line="206"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the six months ended July 31, 2025, was based on revenue and free cash flow goals adopted by the Compensation and Human Resource Committee.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6" w:name="page17"/>
    <w:bookmarkEnd w:id="16"/>
    <w:p>
      <w:pPr>
        <w:ind w:right="360" w:firstLine="395"/>
        <w:spacing w:after="0" w:line="253"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208"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$18 million and $8 million for the three months ended July 31, 2025 and 2024, respectively. Autodesk recorded stock-based compensation expense related to performance stock units of $39 million and $14 million for the six months ended July 31, 2025 and 2024, respectively.</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six months ended July 31, 2025 and 2024,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256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60" w:type="dxa"/>
            <w:vAlign w:val="bottom"/>
          </w:tcPr>
          <w:p>
            <w:pPr>
              <w:spacing w:after="0"/>
              <w:rPr>
                <w:sz w:val="16"/>
                <w:szCs w:val="16"/>
                <w:color w:val="auto"/>
              </w:rPr>
            </w:pPr>
          </w:p>
        </w:tc>
      </w:tr>
      <w:tr>
        <w:trPr>
          <w:trHeight w:val="24"/>
        </w:trPr>
        <w:tc>
          <w:tcPr>
            <w:tcW w:w="8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218.20</w:t>
            </w:r>
          </w:p>
        </w:tc>
        <w:tc>
          <w:tcPr>
            <w:tcW w:w="104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164.81</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shares granted under the ESPP (1)</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76.56</w:t>
            </w:r>
          </w:p>
        </w:tc>
        <w:tc>
          <w:tcPr>
            <w:tcW w:w="10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six months ended July 31, 2025 and 2024, as follows:</w:t>
      </w:r>
    </w:p>
    <w:p>
      <w:pPr>
        <w:sectPr>
          <w:pgSz w:w="11900" w:h="16838" w:orient="portrait"/>
          <w:cols w:equalWidth="0" w:num="1">
            <w:col w:w="11240"/>
          </w:cols>
          <w:pgMar w:left="320" w:top="1108" w:right="339" w:bottom="1440" w:gutter="0" w:footer="0" w:header="0"/>
        </w:sectPr>
      </w:pPr>
    </w:p>
    <w:p>
      <w:pPr>
        <w:spacing w:after="0" w:line="1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30480</wp:posOffset>
            </wp:positionV>
            <wp:extent cx="19215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30" w:lineRule="exact"/>
        <w:rPr>
          <w:sz w:val="20"/>
          <w:szCs w:val="20"/>
          <w:color w:val="auto"/>
        </w:rPr>
      </w:pPr>
    </w:p>
    <w:p>
      <w:pPr>
        <w:ind w:left="572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30480</wp:posOffset>
            </wp:positionV>
            <wp:extent cx="1913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8" w:lineRule="exact"/>
        <w:rPr>
          <w:sz w:val="20"/>
          <w:szCs w:val="20"/>
          <w:color w:val="auto"/>
        </w:rPr>
      </w:pPr>
    </w:p>
    <w:p>
      <w:pPr>
        <w:sectPr>
          <w:pgSz w:w="11900" w:h="16838" w:orient="portrait"/>
          <w:cols w:equalWidth="0" w:num="2">
            <w:col w:w="8120" w:space="720"/>
            <w:col w:w="2400"/>
          </w:cols>
          <w:pgMar w:left="320" w:top="1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64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8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6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 expense related to stock awards and ESPP purchases</w:t>
            </w:r>
          </w:p>
        </w:tc>
        <w:tc>
          <w:tcPr>
            <w:tcW w:w="6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6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6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
        </w:trPr>
        <w:tc>
          <w:tcPr>
            <w:tcW w:w="5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300" w:firstLine="478"/>
        <w:spacing w:after="0" w:line="315" w:lineRule="auto"/>
        <w:rPr>
          <w:sz w:val="20"/>
          <w:szCs w:val="20"/>
          <w:color w:val="auto"/>
        </w:rPr>
      </w:pPr>
      <w:r>
        <w:rPr>
          <w:rFonts w:ascii="Times New Roman" w:cs="Times New Roman" w:eastAsia="Times New Roman" w:hAnsi="Times New Roman"/>
          <w:sz w:val="16"/>
          <w:szCs w:val="16"/>
          <w:color w:val="auto"/>
        </w:rPr>
        <w:t>During the six months ended July 31, 2025, Autodesk recorded $54 million in stock-based compensation expense reflecting a cumulative adjustment since fiscal 1999 related to the Company’s ESPP. The differences were not material to any prior interim or annual periods, nor to the current fiscal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July 31, 2025</w:t>
            </w:r>
          </w:p>
        </w:tc>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July 31, 2024</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6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ESPP (1)</w:t>
            </w:r>
          </w:p>
        </w:tc>
        <w:tc>
          <w:tcPr>
            <w:tcW w:w="162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ESPP (2)</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640" w:type="dxa"/>
            <w:vAlign w:val="bottom"/>
            <w:gridSpan w:val="2"/>
            <w:vMerge w:val="continue"/>
          </w:tcPr>
          <w:p>
            <w:pPr>
              <w:spacing w:after="0"/>
              <w:rPr>
                <w:sz w:val="16"/>
                <w:szCs w:val="16"/>
                <w:color w:val="auto"/>
              </w:rPr>
            </w:pP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29.7 - 33.4%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29.1 - 29.5%</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29.4 - 31.4%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28.7 - 34.5%</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c>
          <w:tcPr>
            <w:tcW w:w="12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3.8 - 4.1%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4.0 - 4.3%</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5.2%</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4.6 - 5.4%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ESPP awards or performance stock units granted during the three months ended July 31, 2025.</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ESPP awards granted during the three months ended July 31, 2024.</w:t>
      </w:r>
    </w:p>
    <w:p>
      <w:pPr>
        <w:spacing w:after="0" w:line="70"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0"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ind w:right="120" w:firstLine="468"/>
        <w:spacing w:after="0" w:line="252" w:lineRule="auto"/>
        <w:rPr>
          <w:sz w:val="20"/>
          <w:szCs w:val="20"/>
          <w:color w:val="auto"/>
        </w:rPr>
      </w:pPr>
      <w:r>
        <w:rPr>
          <w:rFonts w:ascii="Times New Roman" w:cs="Times New Roman" w:eastAsia="Times New Roman" w:hAnsi="Times New Roman"/>
          <w:sz w:val="18"/>
          <w:szCs w:val="18"/>
          <w:color w:val="auto"/>
        </w:rPr>
        <w:t>Autodesk had income tax expense of $143 million, relative to pre-tax income of $456 million for the three months ended July 31, 2025, and income tax expense of $70 million, relative to pre-tax income of $352 million for the three months ended July 31, 2024. Our effective tax rate for the three months ended July 31, 2025, differs from the U.S. federal statutory rate of 21% primarily due to tax on net controlled foreign corporation tested income (“NCTI”) and withholding tax, offset by varying tax rates on foreign earnings, tax deductible stock-based compensation, and tax credits.</w:t>
      </w:r>
    </w:p>
    <w:p>
      <w:pPr>
        <w:spacing w:after="0" w:line="210"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Autodesk had income tax expense of $225 million, relative to pre-tax income of $690 million for the six months ended July 31, 2025, and income tax expense of $127 million, relative to pre-tax income of $661 million for the six months ended July 31, 2024. Our effective tax rate for the six months ended July 31, 2025, differs from the U.S. federal statutory rate of 21% primarily due to tax on NCTI, a nondeductible cumulative adjustment of stock-based compensation related to the Company’s ESPP, and withholding tax, offset by varying tax rates on foreign earnings, tax deductible stock-based compensation, and tax credits.</w:t>
      </w:r>
    </w:p>
    <w:p>
      <w:pPr>
        <w:spacing w:after="0" w:line="181" w:lineRule="exact"/>
        <w:rPr>
          <w:sz w:val="20"/>
          <w:szCs w:val="20"/>
          <w:color w:val="auto"/>
        </w:rPr>
      </w:pPr>
    </w:p>
    <w:p>
      <w:pPr>
        <w:ind w:firstLine="468"/>
        <w:spacing w:after="0" w:line="250"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Portugal, New Zealand, California, Massachusetts, and Michigan deferred tax assets and deferred tax assets that will convert to a capital loss upon reversal in Australia and the U.S., as we do not have sufficient income of the appropriate character to benefit from these deferred tax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July 31, 2025, and January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66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Cloud Computing Arrangements</w:t>
      </w:r>
    </w:p>
    <w:p>
      <w:pPr>
        <w:spacing w:after="0" w:line="24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$356 million and $327 million at July 31, 2025, and January 31, 2025, respectively. Accumulated amortization was $152 million and $136 million at July 31, 2025, and January 31, 2025, respectively. Amortization expense for the three months ended July 31, 2025 and 2024, was $10 million and $17 million, respectively. Amortization expense for the six months ended July 31, 2025 and 2024, was $20 million and $30 million,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4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six months ended July 31, 2025, (in millions):</w:t>
      </w:r>
    </w:p>
    <w:p>
      <w:pPr>
        <w:sectPr>
          <w:pgSz w:w="11900" w:h="16838" w:orient="portrait"/>
          <w:cols w:equalWidth="0" w:num="1">
            <w:col w:w="11240"/>
          </w:cols>
          <w:pgMar w:left="320" w:top="1104"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January 31, 2025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Effect of foreign currency translation</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007" w:hanging="1007"/>
        <w:spacing w:after="0"/>
        <w:tabs>
          <w:tab w:leader="none" w:pos="100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4,242</w:t>
      </w:r>
    </w:p>
    <w:p>
      <w:pPr>
        <w:spacing w:after="0" w:line="26" w:lineRule="exact"/>
        <w:rPr>
          <w:rFonts w:ascii="Times New Roman" w:cs="Times New Roman" w:eastAsia="Times New Roman" w:hAnsi="Times New Roman"/>
          <w:sz w:val="16"/>
          <w:szCs w:val="16"/>
          <w:color w:val="auto"/>
        </w:rPr>
      </w:pPr>
    </w:p>
    <w:p>
      <w:pPr>
        <w:ind w:left="12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w:t>
      </w:r>
    </w:p>
    <w:p>
      <w:pPr>
        <w:spacing w:after="0" w:line="40" w:lineRule="exact"/>
        <w:rPr>
          <w:sz w:val="20"/>
          <w:szCs w:val="20"/>
          <w:color w:val="auto"/>
        </w:rPr>
      </w:pPr>
    </w:p>
    <w:p>
      <w:pPr>
        <w:ind w:left="1007" w:hanging="1007"/>
        <w:spacing w:after="0"/>
        <w:tabs>
          <w:tab w:leader="none" w:pos="10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42545</wp:posOffset>
            </wp:positionV>
            <wp:extent cx="918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9093" w:space="720"/>
            <w:col w:w="1427"/>
          </w:cols>
          <w:pgMar w:left="320" w:top="1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impairment losses as of both January 31, 2025 and July 31, 2025, were $149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Deferred Compensation</w:t>
      </w:r>
    </w:p>
    <w:p>
      <w:pPr>
        <w:spacing w:after="0" w:line="244"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At July 31, 2025, Autodesk had investments in debt and equity securities that are held in a rabbi trust under non-qualified deferred compensation plans and a corresponding deferred compensation liability totaling $130 million. Of this amount, $13 million was classified as current and $117 million was classified as non-current in the Condensed Consolidated Balance Sheets. Of the $118 million related to the investments in a rabbi trust as of January 31, 2025, $12 million was classified as current and $106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42" w:lineRule="exact"/>
        <w:rPr>
          <w:sz w:val="20"/>
          <w:szCs w:val="20"/>
          <w:color w:val="auto"/>
        </w:rPr>
      </w:pPr>
    </w:p>
    <w:p>
      <w:pPr>
        <w:ind w:right="180" w:firstLine="395"/>
        <w:spacing w:after="0" w:line="280" w:lineRule="auto"/>
        <w:rPr>
          <w:sz w:val="20"/>
          <w:szCs w:val="20"/>
          <w:color w:val="auto"/>
        </w:rPr>
      </w:pPr>
      <w:r>
        <w:rPr>
          <w:rFonts w:ascii="Times New Roman" w:cs="Times New Roman" w:eastAsia="Times New Roman" w:hAnsi="Times New Roman"/>
          <w:sz w:val="16"/>
          <w:szCs w:val="16"/>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$692 million as of July 31, 2025, and $467 million as of January 31, 2025. These assets are recorded in “Prepaid expenses and other current assets” and “Long-term other assets” in the Condensed Consolidated Balance Sheet. Of the total amount as of July 31, 2025, $377 million was recorded in “Prepaid expenses and other current assets” and</w:t>
      </w:r>
    </w:p>
    <w:p>
      <w:pPr>
        <w:spacing w:after="0" w:line="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$315 million was recorded in “Long-term other assets” in the Condensed Consolidated Balance Sheets. Amortization expense related to assets recognized from costs to obtain a contract with a customer was $123 million and $219 million during the three and six months ended July 31, 2025, respectively. Amortization expense related to assets recognized from costs to obtain a contract with a customer was $44 million and $85 million during the three and six months ended July 31, 2024, respectively. Autodesk did not recognize any contract cost impairment losses during the three and six months ended July 31,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Computer Equipment, Software, Furniture, and Leasehold Improvements,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6"/>
        </w:trPr>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13. Borrowing Arrangements</w:t>
      </w:r>
    </w:p>
    <w:p>
      <w:pPr>
        <w:spacing w:after="0" w:line="244" w:lineRule="exact"/>
        <w:rPr>
          <w:sz w:val="20"/>
          <w:szCs w:val="20"/>
          <w:color w:val="auto"/>
        </w:rPr>
      </w:pPr>
    </w:p>
    <w:p>
      <w:pPr>
        <w:ind w:right="40" w:firstLine="395"/>
        <w:spacing w:after="0" w:line="276" w:lineRule="auto"/>
        <w:rPr>
          <w:sz w:val="20"/>
          <w:szCs w:val="20"/>
          <w:color w:val="auto"/>
        </w:rPr>
      </w:pPr>
      <w:r>
        <w:rPr>
          <w:rFonts w:ascii="Times New Roman" w:cs="Times New Roman" w:eastAsia="Times New Roman" w:hAnsi="Times New Roman"/>
          <w:sz w:val="16"/>
          <w:szCs w:val="16"/>
          <w:color w:val="auto"/>
        </w:rPr>
        <w:t>In May 2025, the Company terminated its previous credit agreement and entered into a new Credit Agreement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2025 Credit Agreement requires the Company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At July 31, 2025, Autodesk was in compliance with the 2025 Credit Agreement covenants. Revolving loans under the 2025 Credit Agreement will bear interest, at the Company’s option, at either (i) a per annum rate equal to the Base Rate (as defined in the 2025 Credit Agreement) or</w:t>
      </w:r>
    </w:p>
    <w:p>
      <w:pPr>
        <w:spacing w:after="0" w:line="7" w:lineRule="exact"/>
        <w:rPr>
          <w:sz w:val="20"/>
          <w:szCs w:val="20"/>
          <w:color w:val="auto"/>
        </w:rPr>
      </w:pPr>
    </w:p>
    <w:p>
      <w:pPr>
        <w:ind w:right="80" w:firstLine="5"/>
        <w:spacing w:after="0" w:line="244"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annum rate equal to the rate at which dollar deposits are offered in the Secured Overnight Financing Rate, plus a margin of between 0.575% and 1.000%, depending on the Company’s Public Debt Rating. The Company is also obligated to pay to each lender a facility fee on a 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July 31, 2025, Autodesk had no outstanding borrowings under the 2025 Credit Agreement.</w:t>
      </w:r>
    </w:p>
    <w:p>
      <w:pPr>
        <w:spacing w:after="0" w:line="22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In June 2025, Autodesk issued $500 million aggregate principal amount of 5.3% notes due June 15, 2035 (“2025 Notes”). Net of a discount of $1 million and issuance costs of $5 million, Autodesk received net proceeds of $494 million from issuance of the 2025 Notes. Both the discount and issuance costs are being amortized to interest expense over the term of the 2025 Notes using the effective interest method. A portion of the proceeds of the 2025 Notes was used for the repayment of $300 million of 4.375% notes due June 15, 2025, and the remainder is available for general corporate purposes.</w:t>
      </w:r>
    </w:p>
    <w:p>
      <w:pPr>
        <w:spacing w:after="0" w:line="21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21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10"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2025 Notes, 2021 Notes, 2020 Notes, and the 2017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July 31, 2025, were as follows: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6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Notes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July 31, 2025,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44"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Autodesk has operating leases for real estate and certain equipment. Leases have remaining lease terms of less than 1 year to 65 years, some of which include options to extend the lease with renewal terms from 1 year to 7 years and some of which include options to terminate the leases from less than 1 year to 5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w:t>
      </w:r>
    </w:p>
    <w:p>
      <w:pPr>
        <w:spacing w:after="0" w:line="200" w:lineRule="exact"/>
        <w:rPr>
          <w:sz w:val="20"/>
          <w:szCs w:val="20"/>
          <w:color w:val="auto"/>
        </w:rPr>
      </w:pPr>
    </w:p>
    <w:p>
      <w:pPr>
        <w:spacing w:after="0" w:line="203"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 xml:space="preserve">During the three and six months ended </w:t>
      </w:r>
      <w:r>
        <w:rPr>
          <w:rFonts w:ascii="Times New Roman" w:cs="Times New Roman" w:eastAsia="Times New Roman" w:hAnsi="Times New Roman"/>
          <w:sz w:val="15"/>
          <w:szCs w:val="15"/>
          <w:color w:val="auto"/>
        </w:rPr>
        <w:t>July 31, 2025, A</w:t>
      </w:r>
      <w:r>
        <w:rPr>
          <w:rFonts w:ascii="Times New Roman" w:cs="Times New Roman" w:eastAsia="Times New Roman" w:hAnsi="Times New Roman"/>
          <w:sz w:val="18"/>
          <w:szCs w:val="18"/>
          <w:color w:val="auto"/>
        </w:rPr>
        <w:t>utodesk recorded total operating lease right-of-use assets impairment charges of $2 million and $11 million, respectively. Autodesk did not recognize any charges during the three and six months ended July 31, 2024.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in our Annual Report on Form 10-K for the fiscal year ended January 31, 2025. The operating lease right-of-use assets impairment charges are included in “Restructuring, other exit costs, and facility reductions” in the Company’s Condensed Consolidated Statements of Operations. See Note 16, “Restructuring, Other Exit Costs, and Facility Reductions” for more details.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580" w:type="dxa"/>
            <w:vAlign w:val="bottom"/>
            <w:gridSpan w:val="4"/>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0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0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operating lease liabilities arising from obtaining operating lease right-of-use assets and lease modifications</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firstLine="5"/>
        <w:spacing w:after="0" w:line="271" w:lineRule="auto"/>
        <w:tabs>
          <w:tab w:leader="none" w:pos="22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w:t>
      </w:r>
      <w:r>
        <w:rPr>
          <w:rFonts w:ascii="Times New Roman" w:cs="Times New Roman" w:eastAsia="Times New Roman" w:hAnsi="Times New Roman"/>
          <w:sz w:val="17"/>
          <w:szCs w:val="17"/>
          <w:color w:val="auto"/>
        </w:rPr>
        <w:t>$5 million</w:t>
      </w:r>
      <w:r>
        <w:rPr>
          <w:rFonts w:ascii="Times New Roman" w:cs="Times New Roman" w:eastAsia="Times New Roman" w:hAnsi="Times New Roman"/>
          <w:sz w:val="16"/>
          <w:szCs w:val="16"/>
          <w:color w:val="auto"/>
        </w:rPr>
        <w:t xml:space="preserve"> and $7 million in variable lease payments for the six months ended July 31, 2025 and 2024, respectively, not included in “Operating lease liabilities” and “Long-term operating lease liabilities” on the Condensed Consolidated Balance Sheets.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(remainder)</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6"/>
        </w:trPr>
        <w:tc>
          <w:tcPr>
            <w:tcW w:w="9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$60 million. Autodesk expects to receive sublease income payments of approximately $40 million for remaining fiscal 2026 through fiscal 2030 and $20 million thereafter.</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July 31, 2025, Autodesk had no material additional operating lease minimum lease payments for executed leases that have not yet commenced.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Derivative Instruments</w:t>
      </w:r>
    </w:p>
    <w:p>
      <w:pPr>
        <w:spacing w:after="0" w:line="244" w:lineRule="exact"/>
        <w:rPr>
          <w:sz w:val="20"/>
          <w:szCs w:val="20"/>
          <w:color w:val="auto"/>
        </w:rPr>
      </w:pPr>
    </w:p>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six months ended July 31, 2025 and 2024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34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Amount of loss recognized in accumulated other comprehensive income, net of tax,</w:t>
            </w:r>
          </w:p>
        </w:tc>
        <w:tc>
          <w:tcPr>
            <w:tcW w:w="920" w:type="dxa"/>
            <w:vAlign w:val="bottom"/>
            <w:vMerge w:val="restart"/>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1"/>
        </w:trPr>
        <w:tc>
          <w:tcPr>
            <w:tcW w:w="574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5" w:lineRule="exact"/>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into income (effective portion)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3" w:name="page24"/>
    <w:bookmarkEnd w:id="23"/>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gains or losses recognized in net income of derivatives not designated as hedging instruments on Autodesk’s Condensed Consolidated Statements of Operations were as follows for the three and six months ended July 31, 2025 and 2024, (amounts presented include any income tax effects):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40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6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(loss) income, net</w:t>
            </w:r>
          </w:p>
        </w:tc>
        <w:tc>
          <w:tcPr>
            <w:tcW w:w="98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311"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See Note 5, “Financial Instruments” for the fair values of derivative instruments in Autodesk’s Condensed Consolidated Balance Sheets as of July 31, 2025, and January 31, 2025.</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$1.97 billion at July 31, 2025, and $1.52 billion at January 31, 2025. Outstanding contracts are recognized as either assets or liabilities on the Company's Condensed Consolidated Balance Sheet at fair value. The majority of the net loss of $5 million remaining in “Accumulated other comprehensive loss” as of July 31, 2025, is expected to be recognized into earnings within the next 24 months.</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$277 million at July 31, 2025, and $1.14 billion at January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Restructuring, Other Exit Costs, and Facility Reductions</w:t>
      </w:r>
    </w:p>
    <w:p>
      <w:pPr>
        <w:spacing w:after="0" w:line="244"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During the first quarter of fiscal 2026, Autodesk initiated a restructuring plan (“2026 Plan”) to support Autodesk's initiatives to optimize its go-to-market organization and, at the same time, to reallocate resources to Autodesk’s strategic priorities of investments in cloud, platform and artificial intelligence. With this restructuring plan, Autodesk is realigning roles to maximize talent investments and to distribute critical expertise globally. Autodesk expects to complete the 2026 Plan by the end of fiscal 2026.</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restructuring and other exit costs liability as of July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January 31, 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6"/>
                <w:szCs w:val="16"/>
                <w:color w:val="auto"/>
              </w:rPr>
            </w:pPr>
          </w:p>
        </w:tc>
        <w:tc>
          <w:tcPr>
            <w:tcW w:w="16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Balances, July 31, 2025</w:t>
            </w:r>
          </w:p>
        </w:tc>
      </w:tr>
      <w:tr>
        <w:trPr>
          <w:trHeight w:val="24"/>
        </w:trPr>
        <w:tc>
          <w:tcPr>
            <w:tcW w:w="42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terminations costs (1)</w:t>
            </w:r>
          </w:p>
        </w:tc>
        <w:tc>
          <w:tcPr>
            <w:tcW w:w="1900" w:type="dxa"/>
            <w:vAlign w:val="bottom"/>
            <w:shd w:val="clear" w:color="auto" w:fill="CCEEFF"/>
          </w:tcPr>
          <w:p>
            <w:pPr>
              <w:jc w:val="right"/>
              <w:ind w:right="172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exit costs (2)</w:t>
            </w:r>
          </w:p>
        </w:tc>
        <w:tc>
          <w:tcPr>
            <w:tcW w:w="19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2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Borders>
              <w:top w:val="single" w:sz="8" w:color="auto"/>
              <w:bottom w:val="single" w:sz="8" w:color="auto"/>
            </w:tcBorders>
            <w:shd w:val="clear" w:color="auto" w:fill="CCEEFF"/>
          </w:tcPr>
          <w:p>
            <w:pPr>
              <w:jc w:val="right"/>
              <w:ind w:right="172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Balance Sheets under “Accrued compensation."</w:t>
      </w:r>
    </w:p>
    <w:p>
      <w:pPr>
        <w:spacing w:after="0" w:line="8"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Balance Sheets under “Accounts payable."</w:t>
      </w: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Statements of Operations under “Restructuring, other exit costs, and facility reductions”.</w:t>
      </w:r>
    </w:p>
    <w:p>
      <w:pPr>
        <w:spacing w:after="0" w:line="228" w:lineRule="exact"/>
        <w:rPr>
          <w:sz w:val="20"/>
          <w:szCs w:val="20"/>
          <w:color w:val="auto"/>
        </w:rPr>
      </w:pPr>
    </w:p>
    <w:p>
      <w:pPr>
        <w:ind w:right="360" w:firstLine="434"/>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July 31, 2025, Autodesk recorded $2 million and $11 million in lease right-of-use assets impairments and $1 million and $6 million in impairment charges to computer equipment, software, furniture, and leasehold improvements for facility reductions, respectively, related to the 2026 Plan. These costs are included in “Restructuring, other exit costs, and facility reductions” on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17.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19"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spacing w:after="0" w:line="198"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6"/>
          <w:szCs w:val="16"/>
          <w:color w:val="auto"/>
        </w:rPr>
        <w:t>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On July 18, 2025, the Court granted defendants’ motion to dismiss with leave to amend. On August 8, 2025, plaintiffs filed an amended complaint, which purports to assert claims under Sections 10(b) and 20(a) of the Exchange Act,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 w:name="page26"/>
    <w:bookmarkEnd w:id="25"/>
    <w:p>
      <w:pPr>
        <w:ind w:right="80"/>
        <w:spacing w:after="0" w:line="253" w:lineRule="auto"/>
        <w:rPr>
          <w:sz w:val="20"/>
          <w:szCs w:val="20"/>
          <w:color w:val="auto"/>
        </w:rPr>
      </w:pPr>
      <w:r>
        <w:rPr>
          <w:rFonts w:ascii="Times New Roman" w:cs="Times New Roman" w:eastAsia="Times New Roman" w:hAnsi="Times New Roman"/>
          <w:sz w:val="18"/>
          <w:szCs w:val="18"/>
          <w:color w:val="auto"/>
        </w:rPr>
        <w:t>Rule 10b-5 promulgated thereunder. Defendants’ motion to dismiss the complaint was filed on August 29, 2025. At this stage, the Company cannot reasonably estimate the amount of any possible financial loss that could result from this matter.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for the six months ended July 31, 2025,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April 30, 2025</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2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July 31, 2025</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100" w:hanging="395"/>
        <w:spacing w:after="0" w:line="255"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six months ended July 31, 2025, Autodesk repurchased 1.2 million and 2.5 million shares at an average repurchase price of $297.59 and $282.39 per share, respectively. At July 31, 2025, $3.17 billion and $5 billion remained available for repurchase under the November 2022 and November 2024 repurchase programs approved by the Board of Directors, respectively.</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for the six months ended July 31, 2024,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0"/>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2024</w:t>
            </w:r>
          </w:p>
        </w:tc>
        <w:tc>
          <w:tcPr>
            <w:tcW w:w="7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1"/>
        </w:trPr>
        <w:tc>
          <w:tcPr>
            <w:tcW w:w="4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40" w:hanging="395"/>
        <w:spacing w:after="0" w:line="246" w:lineRule="auto"/>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six months ended July 31, 2024, Autodesk repurchased 471 thousand and 504 thousand shares at an average repurchase price of $244.63 and $245.29 per share, respectively. At July 31, 2024, $4.62 billion remained available for repurchase under the November 2022 repurchase program approved by the Board of Directors.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19.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July 31, 2025:</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July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center"/>
              <w:ind w:left="563"/>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net.” Refer to Note 15, “Derivative Instruments,” for the amount and location of reclassifications related to derivative instruments. Reclassifications of the defined benefit pension components of net periodic benefit cost are included in “Interest and other income,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periods. For the three and six months ended July 31, 2025, there were zero and 90 thousand anti-dilutive shares excluded from the computation of diluted net income per share, respectively. For the three and six months ended July 31, 2024, there were 194 thousand and 121 thousand anti-dilutive shares excluded from the computation of diluted net income per share,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Segments</w:t>
      </w:r>
    </w:p>
    <w:p>
      <w:pPr>
        <w:spacing w:after="0" w:line="244" w:lineRule="exact"/>
        <w:rPr>
          <w:sz w:val="20"/>
          <w:szCs w:val="20"/>
          <w:color w:val="auto"/>
        </w:rPr>
      </w:pPr>
    </w:p>
    <w:p>
      <w:pPr>
        <w:ind w:right="40" w:firstLine="434"/>
        <w:spacing w:after="0" w:line="245" w:lineRule="auto"/>
        <w:rPr>
          <w:sz w:val="20"/>
          <w:szCs w:val="20"/>
          <w:color w:val="auto"/>
        </w:rPr>
      </w:pPr>
      <w:r>
        <w:rPr>
          <w:rFonts w:ascii="Times New Roman" w:cs="Times New Roman" w:eastAsia="Times New Roman" w:hAnsi="Times New Roman"/>
          <w:sz w:val="18"/>
          <w:szCs w:val="18"/>
          <w:color w:val="auto"/>
        </w:rPr>
        <w:t>Autodesk operates in one operating and reportable segment, the Company as a whole. Autodesk is a global leader in 3D design, engineering and entertainment technology solutions, spanning architecture, engineering, construction, product design, manufacturing, media, and entertainment. Autodesk’s software products are offered through a hybrid of desktop and cloud functionality. The chief operating decision maker (“CODM”) assesses performance and decides how to allocate resources based on consolidated net income as reported on the Condensed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in Autodesk’s Annual Report on Form 10-K for the fiscal year ended January 31, 2025, filed on March 6, 2025. The measure of Autodesk’s segment assets is reported on the Condensed Consolidated Balance Sheets as total assets. Autodesk determined that the Company’s Chief Executive Officer, serves as the CODM.</w:t>
      </w:r>
    </w:p>
    <w:p>
      <w:pPr>
        <w:spacing w:after="0" w:line="9" w:lineRule="exact"/>
        <w:rPr>
          <w:sz w:val="20"/>
          <w:szCs w:val="20"/>
          <w:color w:val="auto"/>
        </w:rPr>
      </w:pPr>
    </w:p>
    <w:p>
      <w:pPr>
        <w:ind w:right="160" w:firstLine="434"/>
        <w:spacing w:after="0" w:line="245" w:lineRule="auto"/>
        <w:rPr>
          <w:sz w:val="20"/>
          <w:szCs w:val="20"/>
          <w:color w:val="auto"/>
        </w:rPr>
      </w:pPr>
      <w:r>
        <w:rPr>
          <w:rFonts w:ascii="Times New Roman" w:cs="Times New Roman" w:eastAsia="Times New Roman" w:hAnsi="Times New Roman"/>
          <w:sz w:val="18"/>
          <w:szCs w:val="18"/>
          <w:color w:val="auto"/>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about Autodesk’s reported segment total net revenue, segment profit, and significant segment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50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subscription and maintenance revenue (2)</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other revenue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sales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(2)</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transaction model (3)</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29"/>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income</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of new transaction model and stock-based compensation are excluded from this line and presented separately within this table.</w:t>
      </w: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transaction model costs include sales incentives to solution providers, transaction fees, and internal operating costs.</w:t>
      </w:r>
    </w:p>
    <w:p>
      <w:pPr>
        <w:spacing w:after="0" w:line="227"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presents information about Autodesk’s other segment disclosures: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5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significant non-cash items include stock-based compensation. See disclosure in table above.</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79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9"/>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9"/>
        </w:trPr>
        <w:tc>
          <w:tcPr>
            <w:tcW w:w="7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9"/>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2"/>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
        </w:trPr>
        <w:tc>
          <w:tcPr>
            <w:tcW w:w="7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intangible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9" w:name="page30"/>
    <w:bookmarkEnd w:id="2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firstLine="17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Six Months Ended July 31, 2025,” and in </w:t>
      </w:r>
      <w:r>
        <w:rPr>
          <w:rFonts w:ascii="Times New Roman" w:cs="Times New Roman" w:eastAsia="Times New Roman" w:hAnsi="Times New Roman"/>
          <w:sz w:val="16"/>
          <w:szCs w:val="16"/>
          <w:i w:val="1"/>
          <w:iCs w:val="1"/>
          <w:color w:val="212529"/>
        </w:rPr>
        <w:t>“Results of Operations-Overview.”</w:t>
      </w:r>
      <w:r>
        <w:rPr>
          <w:rFonts w:ascii="Times New Roman" w:cs="Times New Roman" w:eastAsia="Times New Roman" w:hAnsi="Times New Roman"/>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effects of global economic conditions, including from global trade wars or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restructuring activities; cybersecurity and privacy issues or incidents;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21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42"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Autodesk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0" w:name="page31"/>
    <w:bookmarkEnd w:id="30"/>
    <w:p>
      <w:pPr>
        <w:ind w:right="180"/>
        <w:spacing w:after="0" w:line="252" w:lineRule="auto"/>
        <w:rPr>
          <w:sz w:val="20"/>
          <w:szCs w:val="20"/>
          <w:color w:val="auto"/>
        </w:rPr>
      </w:pPr>
      <w:r>
        <w:rPr>
          <w:rFonts w:ascii="Times New Roman" w:cs="Times New Roman" w:eastAsia="Times New Roman" w:hAnsi="Times New Roman"/>
          <w:sz w:val="18"/>
          <w:szCs w:val="18"/>
          <w:color w:val="auto"/>
        </w:rPr>
        <w:t>Construction Cloud, Autodesk Build,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Construction and Operations (“AECO”), we are strengthening our AECO solutions’ foundation with both organic and inorganic investments. In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Artificial Intelligence (“AI”)-powered insights that simplify the exploration of design concepts, offload repetitive tasks, and help evaluate environmental qualities surrounding a building site.</w:t>
      </w:r>
    </w:p>
    <w:p>
      <w:pPr>
        <w:spacing w:after="0" w:line="217"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w:t>
      </w:r>
    </w:p>
    <w:p>
      <w:pPr>
        <w:spacing w:after="0" w:line="21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Reach</w:t>
      </w:r>
    </w:p>
    <w:p>
      <w:pPr>
        <w:spacing w:after="0" w:line="242" w:lineRule="exact"/>
        <w:rPr>
          <w:sz w:val="20"/>
          <w:szCs w:val="20"/>
          <w:color w:val="auto"/>
        </w:rPr>
      </w:pPr>
    </w:p>
    <w:p>
      <w:pPr>
        <w:ind w:right="40" w:firstLine="395"/>
        <w:spacing w:after="0" w:line="277" w:lineRule="auto"/>
        <w:rPr>
          <w:sz w:val="20"/>
          <w:szCs w:val="20"/>
          <w:color w:val="auto"/>
        </w:rPr>
      </w:pPr>
      <w:r>
        <w:rPr>
          <w:rFonts w:ascii="Times New Roman" w:cs="Times New Roman" w:eastAsia="Times New Roman" w:hAnsi="Times New Roman"/>
          <w:sz w:val="16"/>
          <w:szCs w:val="16"/>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distributors, resellers, direct market resellers, volume channel partners, and product-specific resellers. During fiscal 2023, we entered into transition agreements with certain of our distributors, including TD Synnex and Ingram Micro Inc., to provide transition distribution activities for a one-to-two-year period. In fiscal 2025, we entered into a new distribution agreement with TD Synnex for government business in certain jurisdictions. Existing distribution agreements will continue in emerging markets. We transitioned our token-based Flex offerings to the new transaction model in most countries during fiscal</w:t>
      </w:r>
    </w:p>
    <w:p>
      <w:pPr>
        <w:spacing w:after="0" w:line="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2023 and fiscal 2024. We transitioned most of our subscription offerings in our major markets in fiscal 2025. In this new transaction model, Solution Providers provide a quote to customers but the actual transaction occurs directly between Autodesk and the customer. During fiscal 2026, we expect the change in recognition of sales incentives to Solution Providers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and six months ended July 31, 2025 and 2024.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1" w:name="page32"/>
    <w:bookmarkEnd w:id="31"/>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Capabilities</w:t>
      </w:r>
    </w:p>
    <w:p>
      <w:pPr>
        <w:spacing w:after="0" w:line="229" w:lineRule="exact"/>
        <w:rPr>
          <w:sz w:val="20"/>
          <w:szCs w:val="20"/>
          <w:color w:val="auto"/>
        </w:rPr>
      </w:pPr>
    </w:p>
    <w:p>
      <w:pPr>
        <w:ind w:right="40" w:firstLine="395"/>
        <w:spacing w:after="0" w:line="315" w:lineRule="auto"/>
        <w:rPr>
          <w:sz w:val="20"/>
          <w:szCs w:val="20"/>
          <w:color w:val="auto"/>
        </w:rPr>
      </w:pPr>
      <w:r>
        <w:rPr>
          <w:rFonts w:ascii="Times New Roman" w:cs="Times New Roman" w:eastAsia="Times New Roman" w:hAnsi="Times New Roman"/>
          <w:sz w:val="16"/>
          <w:szCs w:val="16"/>
          <w:color w:val="auto"/>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spacing w:after="0" w:line="149" w:lineRule="exact"/>
        <w:rPr>
          <w:sz w:val="20"/>
          <w:szCs w:val="20"/>
          <w:color w:val="auto"/>
        </w:rPr>
      </w:pPr>
    </w:p>
    <w:p>
      <w:pPr>
        <w:ind w:right="80" w:firstLine="395"/>
        <w:spacing w:after="0" w:line="241" w:lineRule="auto"/>
        <w:rPr>
          <w:sz w:val="20"/>
          <w:szCs w:val="20"/>
          <w:color w:val="auto"/>
        </w:rPr>
      </w:pPr>
      <w:r>
        <w:rPr>
          <w:rFonts w:ascii="Times New Roman" w:cs="Times New Roman" w:eastAsia="Times New Roman" w:hAnsi="Times New Roman"/>
          <w:sz w:val="18"/>
          <w:szCs w:val="18"/>
          <w:color w:val="auto"/>
        </w:rPr>
        <w:t>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w:t>
      </w:r>
    </w:p>
    <w:p>
      <w:pPr>
        <w:spacing w:after="0" w:line="205" w:lineRule="exact"/>
        <w:rPr>
          <w:sz w:val="20"/>
          <w:szCs w:val="20"/>
          <w:color w:val="auto"/>
        </w:rPr>
      </w:pPr>
    </w:p>
    <w:p>
      <w:pPr>
        <w:ind w:right="260" w:firstLine="395"/>
        <w:spacing w:after="0" w:line="239" w:lineRule="auto"/>
        <w:rPr>
          <w:sz w:val="20"/>
          <w:szCs w:val="20"/>
          <w:color w:val="auto"/>
        </w:rPr>
      </w:pPr>
      <w:r>
        <w:rPr>
          <w:rFonts w:ascii="Times New Roman" w:cs="Times New Roman" w:eastAsia="Times New Roman" w:hAnsi="Times New Roman"/>
          <w:sz w:val="18"/>
          <w:szCs w:val="18"/>
          <w:color w:val="auto"/>
        </w:rPr>
        <w:t>One example of these shared capabilities is Autodesk AI. We have been investing in AI for over a decade. Our focus is on building AI capabilities that add value to our customers’ workloads through augmentation, automation and analysis.</w:t>
      </w:r>
    </w:p>
    <w:p>
      <w:pPr>
        <w:spacing w:after="0" w:line="21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212"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at Autodesk</w:t>
      </w:r>
    </w:p>
    <w:p>
      <w:pPr>
        <w:spacing w:after="0" w:line="12" w:lineRule="exact"/>
        <w:rPr>
          <w:sz w:val="20"/>
          <w:szCs w:val="20"/>
          <w:color w:val="auto"/>
        </w:rPr>
      </w:pPr>
    </w:p>
    <w:p>
      <w:pPr>
        <w:ind w:right="40" w:firstLine="395"/>
        <w:spacing w:after="0" w:line="235" w:lineRule="auto"/>
        <w:rPr>
          <w:sz w:val="20"/>
          <w:szCs w:val="20"/>
          <w:color w:val="auto"/>
        </w:rPr>
      </w:pPr>
      <w:r>
        <w:rPr>
          <w:rFonts w:ascii="Times New Roman" w:cs="Times New Roman" w:eastAsia="Times New Roman" w:hAnsi="Times New Roman"/>
          <w:sz w:val="18"/>
          <w:szCs w:val="18"/>
          <w:color w:val="auto"/>
        </w:rPr>
        <w:t>Autodesk is committed to advancing a more sustainable, resilient, and inclusive world. We take action as a business to support our employees, customers, and communities in our collective opportunity to design and make a better world for all.</w:t>
      </w:r>
    </w:p>
    <w:p>
      <w:pPr>
        <w:spacing w:after="0" w:line="21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spacing w:after="0" w:line="158" w:lineRule="exact"/>
        <w:rPr>
          <w:sz w:val="20"/>
          <w:szCs w:val="20"/>
          <w:color w:val="auto"/>
        </w:rPr>
      </w:pPr>
    </w:p>
    <w:p>
      <w:pPr>
        <w:ind w:right="120" w:firstLine="395"/>
        <w:spacing w:after="0" w:line="233" w:lineRule="auto"/>
        <w:rPr>
          <w:sz w:val="20"/>
          <w:szCs w:val="20"/>
          <w:color w:val="auto"/>
        </w:rPr>
      </w:pPr>
      <w:r>
        <w:rPr>
          <w:rFonts w:ascii="Times New Roman" w:cs="Times New Roman" w:eastAsia="Times New Roman" w:hAnsi="Times New Roman"/>
          <w:sz w:val="18"/>
          <w:szCs w:val="18"/>
          <w:color w:val="auto"/>
        </w:rPr>
        <w:t>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w:t>
      </w:r>
    </w:p>
    <w:p>
      <w:pPr>
        <w:spacing w:after="0" w:line="212" w:lineRule="exact"/>
        <w:rPr>
          <w:sz w:val="20"/>
          <w:szCs w:val="20"/>
          <w:color w:val="auto"/>
        </w:rPr>
      </w:pPr>
    </w:p>
    <w:p>
      <w:pPr>
        <w:ind w:right="840" w:firstLine="395"/>
        <w:spacing w:after="0" w:line="253" w:lineRule="auto"/>
        <w:rPr>
          <w:sz w:val="20"/>
          <w:szCs w:val="20"/>
          <w:color w:val="auto"/>
        </w:rPr>
      </w:pPr>
      <w:r>
        <w:rPr>
          <w:rFonts w:ascii="Times New Roman" w:cs="Times New Roman" w:eastAsia="Times New Roman" w:hAnsi="Times New Roman"/>
          <w:sz w:val="18"/>
          <w:szCs w:val="18"/>
          <w:color w:val="auto"/>
        </w:rPr>
        <w:t>These programs align with our operational priorities and long-term growth strategy. We aim to maintain our commitments, fostering trust with stakeholders and enabling compliance with global regulations.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color w:val="auto"/>
        </w:rPr>
        <w:t>Additional information about our impact and governance program is available in our annual impact report on our website at www.autodesk.com.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on or accessible through our website is not part of or incorporated by reference into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2025.</w:t>
      </w:r>
    </w:p>
    <w:p>
      <w:pPr>
        <w:spacing w:after="0" w:line="21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six months ended July 31, 2025, as compared to those disclosed in our Annual Report on Form 10-K for the fiscal year ended January 31, 2025. We believe these policies are the most critical to aid in fully understanding and evaluating our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Six Months Ended July 31, 2025</w:t>
      </w:r>
    </w:p>
    <w:p>
      <w:pPr>
        <w:spacing w:after="0" w:line="190" w:lineRule="exact"/>
        <w:rPr>
          <w:sz w:val="20"/>
          <w:szCs w:val="20"/>
          <w:color w:val="auto"/>
        </w:rPr>
      </w:pPr>
    </w:p>
    <w:p>
      <w:pPr>
        <w:ind w:left="640" w:right="60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17% and 16% to $1.76 billion and $3.40 billion during the three and six months ended July 31, 2025, respectively, compared to the same periods in the prior fiscal year.</w:t>
      </w:r>
    </w:p>
    <w:p>
      <w:pPr>
        <w:spacing w:after="0" w:line="11"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98% and 97% for the three and six months ended July 31, 2025, respectively, and 97% for both the three and six months ended July 31, 2024.</w:t>
      </w:r>
    </w:p>
    <w:p>
      <w:pPr>
        <w:spacing w:after="0" w:line="11"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above 110%, on a constant currency basis, as of July 31, 2025, and was within the range of 100% and 110%, on a constant currency basis, as of July 31, 2024.</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$3.84 billion, a decrease of 7%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right="56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$7.30 billion, an increase of 5%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$4.68 billion, an increase of 5% compared to the fourth quarter in the prior fiscal year.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200" w:firstLine="395"/>
        <w:spacing w:after="0" w:line="315" w:lineRule="auto"/>
        <w:rPr>
          <w:sz w:val="20"/>
          <w:szCs w:val="20"/>
          <w:color w:val="auto"/>
        </w:rPr>
      </w:pPr>
      <w:r>
        <w:rPr>
          <w:rFonts w:ascii="Times New Roman" w:cs="Times New Roman" w:eastAsia="Times New Roman" w:hAnsi="Times New Roman"/>
          <w:sz w:val="16"/>
          <w:szCs w:val="16"/>
          <w:color w:val="auto"/>
        </w:rPr>
        <w:t>Net revenue increased 17% and 16% during the three and six months ended July 31, 2025, respectively, as compared to the same periods in the prior fiscal year, primarily due to an increase in subscription revenue. For further discussion of these results, see below under the heading “Results of Operations.”</w:t>
      </w:r>
    </w:p>
    <w:p>
      <w:pPr>
        <w:spacing w:after="0" w:line="149" w:lineRule="exact"/>
        <w:rPr>
          <w:sz w:val="20"/>
          <w:szCs w:val="20"/>
          <w:color w:val="auto"/>
        </w:rPr>
      </w:pPr>
    </w:p>
    <w:p>
      <w:pPr>
        <w:ind w:right="80" w:firstLine="395"/>
        <w:spacing w:after="0" w:line="237"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TD Synnex Corporation and its global affiliates (collectively, “TD Synnex”). Total revenue from TD Synnex accounted for 16% and 18% of our total net revenue during the three and six months ended July 31, 2025, respectively. Total revenue from TD Synnex accounted for 36% and 37% of Autodesk’s total net revenue during the three and six months ended July 31,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3" w:name="page34"/>
    <w:bookmarkEnd w:id="33"/>
    <w:p>
      <w:pPr>
        <w:ind w:right="200"/>
        <w:spacing w:after="0" w:line="236" w:lineRule="auto"/>
        <w:rPr>
          <w:sz w:val="20"/>
          <w:szCs w:val="20"/>
          <w:color w:val="auto"/>
        </w:rPr>
      </w:pPr>
      <w:r>
        <w:rPr>
          <w:rFonts w:ascii="Times New Roman" w:cs="Times New Roman" w:eastAsia="Times New Roman" w:hAnsi="Times New Roman"/>
          <w:sz w:val="18"/>
          <w:szCs w:val="18"/>
          <w:color w:val="auto"/>
        </w:rPr>
        <w:t>respectively. Our customers through TD Synnex are the resellers and end users who purchase our software subscriptions and services. In connection with our new transaction model, we entered into agreements to provide transition distribution activities with certain distributors and entered into a new distribution agreement with TD Synnex for government business in certain jurisdictions. We maintained distribution relationships in emerging markets. We have increased our selling efforts with Solution Providers in connection with our new transaction model. Consequently, we believe our business is not substantially dependent on TD Synnex.</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six months ended July 31, 2025 and 2024:</w:t>
      </w:r>
    </w:p>
    <w:p>
      <w:pPr>
        <w:spacing w:after="0" w:line="142"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300"/>
        <w:spacing w:after="0" w:line="238" w:lineRule="auto"/>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3120" w:type="dxa"/>
            <w:vAlign w:val="bottom"/>
          </w:tcPr>
          <w:p>
            <w:pPr>
              <w:jc w:val="center"/>
              <w:ind w:left="1395"/>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30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ind w:left="95"/>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3120" w:type="dxa"/>
            <w:vAlign w:val="bottom"/>
          </w:tcPr>
          <w:p>
            <w:pPr>
              <w:jc w:val="center"/>
              <w:ind w:left="1395"/>
              <w:spacing w:after="0"/>
              <w:rPr>
                <w:sz w:val="20"/>
                <w:szCs w:val="20"/>
                <w:color w:val="auto"/>
              </w:rPr>
            </w:pPr>
            <w:r>
              <w:rPr>
                <w:rFonts w:ascii="Times New Roman" w:cs="Times New Roman" w:eastAsia="Times New Roman" w:hAnsi="Times New Roman"/>
                <w:sz w:val="14"/>
                <w:szCs w:val="14"/>
                <w:b w:val="1"/>
                <w:bCs w:val="1"/>
                <w:color w:val="auto"/>
                <w:w w:val="99"/>
              </w:rPr>
              <w:t>July 31, 2025</w:t>
            </w: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1,467</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427"/>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0"/>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Six Months Ended</w:t>
            </w:r>
          </w:p>
        </w:tc>
      </w:tr>
      <w:tr>
        <w:trPr>
          <w:trHeight w:val="196"/>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July 31, 2025</w:t>
            </w:r>
          </w:p>
        </w:tc>
        <w:tc>
          <w:tcPr>
            <w:tcW w:w="3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ind w:right="204"/>
              <w:spacing w:after="0"/>
              <w:rPr>
                <w:sz w:val="20"/>
                <w:szCs w:val="20"/>
                <w:color w:val="auto"/>
              </w:rPr>
            </w:pPr>
            <w:r>
              <w:rPr>
                <w:rFonts w:ascii="Arial" w:cs="Arial" w:eastAsia="Arial" w:hAnsi="Arial"/>
                <w:sz w:val="14"/>
                <w:szCs w:val="14"/>
                <w:b w:val="1"/>
                <w:bCs w:val="1"/>
                <w:color w:val="auto"/>
              </w:rPr>
              <w:t>July 31, 2024</w:t>
            </w:r>
          </w:p>
        </w:tc>
      </w:tr>
      <w:tr>
        <w:trPr>
          <w:trHeight w:val="20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3,311</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2,848</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240" w:hanging="395"/>
        <w:spacing w:after="0" w:line="252" w:lineRule="auto"/>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14"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NR3 was above 110%, on a constant currency basis, as of July 31, 2025, in part due to our new transaction model, and was within the range of 100% and 110%, on a constant currency basis, as of July 31, 2024.</w:t>
      </w: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Germany, Japan, the United Kingdom, and Canada.</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July 31, 2025</w:t>
            </w:r>
          </w:p>
        </w:tc>
        <w:tc>
          <w:tcPr>
            <w:tcW w:w="4620" w:type="dxa"/>
            <w:vAlign w:val="bottom"/>
            <w:gridSpan w:val="5"/>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9"/>
              </w:rPr>
              <w:t>Six Months Ended July 31, 2025</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Constant Currency</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Positive/Negative/Neutral</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Positive/Negative/Ne</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impact from foreign</w:t>
            </w:r>
          </w:p>
        </w:tc>
        <w:tc>
          <w:tcPr>
            <w:tcW w:w="16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60" w:type="dxa"/>
            <w:vAlign w:val="bottom"/>
          </w:tcPr>
          <w:p>
            <w:pPr>
              <w:ind w:left="180"/>
              <w:spacing w:after="0" w:line="133" w:lineRule="exact"/>
              <w:rPr>
                <w:sz w:val="20"/>
                <w:szCs w:val="20"/>
                <w:color w:val="auto"/>
              </w:rPr>
            </w:pPr>
            <w:r>
              <w:rPr>
                <w:rFonts w:ascii="Times New Roman" w:cs="Times New Roman" w:eastAsia="Times New Roman" w:hAnsi="Times New Roman"/>
                <w:sz w:val="14"/>
                <w:szCs w:val="14"/>
                <w:b w:val="1"/>
                <w:bCs w:val="1"/>
                <w:color w:val="auto"/>
              </w:rPr>
              <w:t>impact from forei</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prior fiscal year (1)</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exchange rate chan</w:t>
            </w:r>
          </w:p>
        </w:tc>
        <w:tc>
          <w:tcPr>
            <w:tcW w:w="0" w:type="dxa"/>
            <w:vAlign w:val="bottom"/>
          </w:tcPr>
          <w:p>
            <w:pPr>
              <w:spacing w:after="0"/>
              <w:rPr>
                <w:sz w:val="1"/>
                <w:szCs w:val="1"/>
                <w:color w:val="auto"/>
              </w:rPr>
            </w:pPr>
          </w:p>
        </w:tc>
      </w:tr>
      <w:tr>
        <w:trPr>
          <w:trHeight w:val="24"/>
        </w:trPr>
        <w:tc>
          <w:tcPr>
            <w:tcW w:w="13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Negative</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Neutral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7"/>
                <w:szCs w:val="17"/>
                <w:color w:val="auto"/>
              </w:rPr>
            </w:pPr>
          </w:p>
        </w:tc>
        <w:tc>
          <w:tcPr>
            <w:tcW w:w="1260" w:type="dxa"/>
            <w:vAlign w:val="bottom"/>
          </w:tcPr>
          <w:p>
            <w:pPr>
              <w:jc w:val="center"/>
              <w:ind w:left="206"/>
              <w:spacing w:after="0"/>
              <w:rPr>
                <w:sz w:val="20"/>
                <w:szCs w:val="20"/>
                <w:color w:val="auto"/>
              </w:rPr>
            </w:pPr>
            <w:r>
              <w:rPr>
                <w:rFonts w:ascii="Times New Roman" w:cs="Times New Roman" w:eastAsia="Times New Roman" w:hAnsi="Times New Roman"/>
                <w:sz w:val="16"/>
                <w:szCs w:val="16"/>
                <w:color w:val="auto"/>
                <w:w w:val="96"/>
              </w:rPr>
              <w:t>Positive</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33"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79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4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r>
      <w:tr>
        <w:trPr>
          <w:trHeight w:val="20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w:t>
            </w:r>
          </w:p>
        </w:tc>
      </w:tr>
      <w:tr>
        <w:trPr>
          <w:trHeight w:val="231"/>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continue to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At July 31, 2025, we had $2.52 billion in cash, cash equivalents, and marketable securities. Our cash flow from operations increased to $1.02 billion for the six months ended July 31, 2025, compared to $706 million for the six months ended July 31, 2024. We repurchased 3 million shares of our common stock for $709 million during the six months ended July 31, 2025. Comparatively, we repurchased 504 thousand shares of our common stock for $124 million during the six months ended July 31, 2024. See further discussion regarding the balance sheet and cash flow activities under the heading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9" w:lineRule="exact"/>
        <w:rPr>
          <w:sz w:val="20"/>
          <w:szCs w:val="20"/>
          <w:color w:val="auto"/>
        </w:rPr>
      </w:pPr>
    </w:p>
    <w:p>
      <w:pPr>
        <w:ind w:right="20" w:firstLine="395"/>
        <w:spacing w:after="0" w:line="233" w:lineRule="auto"/>
        <w:rPr>
          <w:sz w:val="20"/>
          <w:szCs w:val="20"/>
          <w:color w:val="auto"/>
        </w:rPr>
      </w:pPr>
      <w:r>
        <w:rPr>
          <w:rFonts w:ascii="Times New Roman" w:cs="Times New Roman" w:eastAsia="Times New Roman" w:hAnsi="Times New Roman"/>
          <w:sz w:val="18"/>
          <w:szCs w:val="18"/>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We also expect our continued transition to annual billings for multi-year contracts to impact the timing of our billings and cash collections. The extent of the impact of these risks on our business in remaining fiscal 2026 and beyond will depend on several factors, some of which are out of our control. Further discussion of the potential impacts of these risks on our business can be found in Part II, Item 1A, “Risk Factors.”</w:t>
      </w:r>
    </w:p>
    <w:p>
      <w:pPr>
        <w:spacing w:after="0" w:line="21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transitioned our token-based Flex offerings to the new transaction model in most countries during fiscal 2023 and fiscal 2024. We transitioned most of our subscription offerings in our major markets in fiscal 2025. In this new transaction model, Solution Providers provide a quote to customers but the actual transaction occurs directly between Autodesk and the customer.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5" w:name="page36"/>
    <w:bookmarkEnd w:id="35"/>
    <w:p>
      <w:pPr>
        <w:ind w:firstLine="395"/>
        <w:spacing w:after="0" w:line="246" w:lineRule="auto"/>
        <w:rPr>
          <w:sz w:val="20"/>
          <w:szCs w:val="20"/>
          <w:color w:val="auto"/>
        </w:rPr>
      </w:pPr>
      <w:r>
        <w:rPr>
          <w:rFonts w:ascii="Times New Roman" w:cs="Times New Roman" w:eastAsia="Times New Roman" w:hAnsi="Times New Roman"/>
          <w:sz w:val="18"/>
          <w:szCs w:val="18"/>
          <w:color w:val="auto"/>
        </w:rPr>
        <w:t>Our sales incentives to Solution Providers are recorded as operating expenses under the new transaction model as we contract directly with end customers. Accordingly, we expect sales incentives paid to resellers recorded as a reduction of transaction price and subsequently recognized as a reduction to subscription revenue over the contract period to continue to decrease as we have transitioned to the new transaction model. Most of the sales incentives payments to Solution Providers in our new transaction model are considered incremental and recoverable costs of obtaining a contract with a customer and are capitalized and included in “Prepaid expenses and other current assets” and “Long-term other assets” on the Consolidated Balance Sheets. The deferred costs are amortized over the period of benefit and recorded to “Sales and Marketing” on the Consolidated Statement of Operations. The sales incentives not qualifying for capitalization are recorded to “Sales and Marketing” on the Consolidated Statement of Operations as the costs are incurred under the incentive program requirements. During fiscal 2026,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Maintenance revenue consists of fees for maintenance purchased with software licenses. Under our maintenance plan, customers are eligible to receive unspecified upgrades, when and if available, and technical support. We recognize maintenance revenue ratably over the term of the agreements, which is generally one year.</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revenue consists of revenue from other products and services and is recognized as the products are delivered and services are performed.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08"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9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24"/>
                <w:szCs w:val="24"/>
                <w:color w:val="auto"/>
              </w:rPr>
            </w:pPr>
          </w:p>
        </w:tc>
        <w:tc>
          <w:tcPr>
            <w:tcW w:w="7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3"/>
                <w:szCs w:val="13"/>
                <w:color w:val="auto"/>
              </w:rPr>
            </w:pP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revenue from the current subscriber base as compa</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to the prior period. Also contributing to the growth</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was an increase in revenue from Cloud Service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offerings and EBA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24"/>
                <w:szCs w:val="24"/>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8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24"/>
                <w:szCs w:val="24"/>
                <w:color w:val="auto"/>
              </w:rPr>
            </w:pPr>
          </w:p>
        </w:tc>
        <w:tc>
          <w:tcPr>
            <w:tcW w:w="7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3"/>
                <w:szCs w:val="13"/>
                <w:color w:val="auto"/>
              </w:rPr>
            </w:pP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revenue from the current subscriber base as compa</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to the prior period. Also contributing to the growth</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was an increase in revenue from Cloud Service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offerings and EBA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720" w:top="928" w:right="239" w:bottom="1440" w:gutter="0" w:footer="0" w:header="0"/>
        </w:sectPr>
      </w:pPr>
    </w:p>
    <w:bookmarkStart w:id="37" w:name="page38"/>
    <w:bookmarkEnd w:id="37"/>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Construction and Operations (“AECO”),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400" w:type="dxa"/>
            <w:vAlign w:val="bottom"/>
          </w:tcPr>
          <w:p>
            <w:pPr>
              <w:spacing w:after="0"/>
              <w:rPr>
                <w:sz w:val="13"/>
                <w:szCs w:val="13"/>
                <w:color w:val="auto"/>
              </w:rPr>
            </w:pPr>
          </w:p>
        </w:tc>
        <w:tc>
          <w:tcPr>
            <w:tcW w:w="12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4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80" w:type="dxa"/>
            <w:vAlign w:val="bottom"/>
          </w:tcPr>
          <w:p>
            <w:pPr>
              <w:spacing w:after="0"/>
              <w:rPr>
                <w:sz w:val="24"/>
                <w:szCs w:val="24"/>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AECO</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3"/>
                <w:szCs w:val="13"/>
                <w:color w:val="auto"/>
              </w:rPr>
            </w:pPr>
          </w:p>
        </w:tc>
        <w:tc>
          <w:tcPr>
            <w:tcW w:w="400" w:type="dxa"/>
            <w:vAlign w:val="bottom"/>
          </w:tcPr>
          <w:p>
            <w:pPr>
              <w:jc w:val="right"/>
              <w:ind w:right="243"/>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and Autodesk Construction Cloud.</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389</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 and Fusion.</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due to lower contra revenue, driven by the</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 of the new transaction model.</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3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00" w:type="dxa"/>
            <w:vAlign w:val="bottom"/>
          </w:tcPr>
          <w:p>
            <w:pPr>
              <w:spacing w:after="0"/>
              <w:rPr>
                <w:sz w:val="24"/>
                <w:szCs w:val="24"/>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3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80" w:type="dxa"/>
            <w:vAlign w:val="bottom"/>
          </w:tcPr>
          <w:p>
            <w:pPr>
              <w:spacing w:after="0"/>
              <w:rPr>
                <w:sz w:val="24"/>
                <w:szCs w:val="24"/>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AECO</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1,687</w:t>
            </w:r>
          </w:p>
        </w:tc>
        <w:tc>
          <w:tcPr>
            <w:tcW w:w="120" w:type="dxa"/>
            <w:vAlign w:val="bottom"/>
          </w:tcPr>
          <w:p>
            <w:pPr>
              <w:spacing w:after="0"/>
              <w:rPr>
                <w:sz w:val="13"/>
                <w:szCs w:val="13"/>
                <w:color w:val="auto"/>
              </w:rPr>
            </w:pPr>
          </w:p>
        </w:tc>
        <w:tc>
          <w:tcPr>
            <w:tcW w:w="400" w:type="dxa"/>
            <w:vAlign w:val="bottom"/>
          </w:tcPr>
          <w:p>
            <w:pPr>
              <w:jc w:val="right"/>
              <w:ind w:right="243"/>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1,387</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Revit, Autodesk Build, and EBA offerings.</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765</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Fusion, and Inventor.</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revenue from PIX acquisition and EBA</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 July</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60" w:type="dxa"/>
            <w:vAlign w:val="bottom"/>
            <w:gridSpan w:val="3"/>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Six Months Ended July 31,</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60" w:type="dxa"/>
            <w:vAlign w:val="bottom"/>
            <w:gridSpan w:val="3"/>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3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69"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0" w:type="dxa"/>
            <w:vAlign w:val="bottom"/>
          </w:tcPr>
          <w:p>
            <w:pPr>
              <w:spacing w:after="0"/>
              <w:rPr>
                <w:sz w:val="13"/>
                <w:szCs w:val="13"/>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33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20" w:type="dxa"/>
            <w:vAlign w:val="bottom"/>
          </w:tcPr>
          <w:p>
            <w:pPr>
              <w:spacing w:after="0"/>
              <w:rPr>
                <w:sz w:val="24"/>
                <w:szCs w:val="24"/>
                <w:color w:val="auto"/>
              </w:rPr>
            </w:pPr>
          </w:p>
        </w:tc>
        <w:tc>
          <w:tcPr>
            <w:tcW w:w="6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center"/>
              <w:ind w:left="225"/>
              <w:spacing w:after="0"/>
              <w:rPr>
                <w:sz w:val="20"/>
                <w:szCs w:val="20"/>
                <w:color w:val="auto"/>
              </w:rPr>
            </w:pPr>
            <w:r>
              <w:rPr>
                <w:rFonts w:ascii="Times New Roman" w:cs="Times New Roman" w:eastAsia="Times New Roman" w:hAnsi="Times New Roman"/>
                <w:sz w:val="16"/>
                <w:szCs w:val="16"/>
                <w:color w:val="auto"/>
                <w:w w:val="97"/>
              </w:rPr>
              <w:t>(232)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245"/>
              <w:spacing w:after="0"/>
              <w:rPr>
                <w:sz w:val="20"/>
                <w:szCs w:val="20"/>
                <w:color w:val="auto"/>
              </w:rPr>
            </w:pPr>
            <w:r>
              <w:rPr>
                <w:rFonts w:ascii="Times New Roman" w:cs="Times New Roman" w:eastAsia="Times New Roman" w:hAnsi="Times New Roman"/>
                <w:sz w:val="16"/>
                <w:szCs w:val="16"/>
                <w:color w:val="auto"/>
                <w:w w:val="99"/>
              </w:rPr>
              <w:t>490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6"/>
                <w:szCs w:val="16"/>
                <w:color w:val="auto"/>
                <w:w w:val="99"/>
              </w:rPr>
              <w:t>258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20" w:type="dxa"/>
            <w:vAlign w:val="bottom"/>
          </w:tcPr>
          <w:p>
            <w:pPr>
              <w:spacing w:after="0"/>
              <w:rPr>
                <w:sz w:val="24"/>
                <w:szCs w:val="24"/>
                <w:color w:val="auto"/>
              </w:rPr>
            </w:pPr>
          </w:p>
        </w:tc>
        <w:tc>
          <w:tcPr>
            <w:tcW w:w="6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center"/>
              <w:ind w:left="225"/>
              <w:spacing w:after="0"/>
              <w:rPr>
                <w:sz w:val="20"/>
                <w:szCs w:val="20"/>
                <w:color w:val="auto"/>
              </w:rPr>
            </w:pPr>
            <w:r>
              <w:rPr>
                <w:rFonts w:ascii="Times New Roman" w:cs="Times New Roman" w:eastAsia="Times New Roman" w:hAnsi="Times New Roman"/>
                <w:sz w:val="16"/>
                <w:szCs w:val="16"/>
                <w:color w:val="auto"/>
                <w:w w:val="97"/>
              </w:rPr>
              <w:t>(370)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245"/>
              <w:spacing w:after="0"/>
              <w:rPr>
                <w:sz w:val="20"/>
                <w:szCs w:val="20"/>
                <w:color w:val="auto"/>
              </w:rPr>
            </w:pPr>
            <w:r>
              <w:rPr>
                <w:rFonts w:ascii="Times New Roman" w:cs="Times New Roman" w:eastAsia="Times New Roman" w:hAnsi="Times New Roman"/>
                <w:sz w:val="16"/>
                <w:szCs w:val="16"/>
                <w:color w:val="auto"/>
                <w:w w:val="99"/>
              </w:rPr>
              <w:t>844</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6"/>
                <w:szCs w:val="16"/>
                <w:color w:val="auto"/>
                <w:w w:val="99"/>
              </w:rPr>
              <w:t>474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For the three months ended July 31, 2025 and 2024, approximately 62% and 40%, respectively, of our revenue was derived from direct sales to customers. For the six months ended July 31, 2025 and 2024, approximately 58% and 39%, respectively, of our revenue was derived from direct sales to customers. With the continued growth of our online Autodesk branded store and the introduction of our new transaction model, we have been decreasing our sales through resellers and distributors and transacting directly with more end customers. We anticipate that our revenue by direct sales channel will continue to increase as a percentage of total net revenue. We expect our indirect channel will continue to transact and support a considerable portion of our customers, particularly in emerging regions.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July 31, 2025</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1,472</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215</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collections, EBA offerings, AutoCAD, AutoCAD</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and MFG collections.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Construction Cloud and Fusion.</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4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July 31, 2025</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tcPr>
          <w:p>
            <w:pPr>
              <w:spacing w:after="0"/>
              <w:rPr>
                <w:sz w:val="13"/>
                <w:szCs w:val="13"/>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collections, EBA offerings, AutoCAD, AutoCAD</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and MFG collections.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Construction Cloud, Fusion and PIX.</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spacing w:after="0" w:line="21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12"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41" w:name="page42"/>
    <w:bookmarkEnd w:id="41"/>
    <w:p>
      <w:pPr>
        <w:ind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1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Restructuring, other exit costs, and facility reductions include charges related to the restructuring plan (“2026 Plan”) to support our initiatives to optimize our go-to-market organization and, at the same time, to reallocate resources to our strategic priorities of investments in cloud, platform and artificial intelligence. With this restructuring plan, we are realigning roles to maximize talent investments and to distribute critical expertise globally.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Pr>
          <w:p>
            <w:pPr>
              <w:spacing w:after="0"/>
              <w:rPr>
                <w:sz w:val="13"/>
                <w:szCs w:val="13"/>
                <w:color w:val="auto"/>
              </w:rPr>
            </w:pPr>
          </w:p>
        </w:tc>
        <w:tc>
          <w:tcPr>
            <w:tcW w:w="16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0" w:type="dxa"/>
            <w:vAlign w:val="bottom"/>
          </w:tcPr>
          <w:p>
            <w:pPr>
              <w:spacing w:after="0"/>
              <w:rPr>
                <w:sz w:val="13"/>
                <w:szCs w:val="13"/>
                <w:color w:val="auto"/>
              </w:rPr>
            </w:pPr>
          </w:p>
        </w:tc>
        <w:tc>
          <w:tcPr>
            <w:tcW w:w="7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03"/>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40" w:type="dxa"/>
            <w:vAlign w:val="bottom"/>
          </w:tcPr>
          <w:p>
            <w:pPr>
              <w:spacing w:after="0"/>
              <w:rPr>
                <w:sz w:val="24"/>
                <w:szCs w:val="24"/>
                <w:color w:val="auto"/>
              </w:rPr>
            </w:pPr>
          </w:p>
        </w:tc>
        <w:tc>
          <w:tcPr>
            <w:tcW w:w="5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14</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cloud hosting costs and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4</w:t>
            </w:r>
          </w:p>
        </w:tc>
        <w:tc>
          <w:tcPr>
            <w:tcW w:w="9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line="160"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Amortization of developed technologies remained flat period over period.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79</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sales commissions to Solution</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Providers due to the recognition of these costs in marketing and sales</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expense under the new transaction model and an increase in marketing</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campaign costs partially offset by a decrease in employee-related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9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line="160" w:lineRule="exact"/>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9"/>
              </w:rPr>
              <w:t>Increase primarily due to an increase in employee-related costs driven by</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higher headcount and an increase in cloud hosting costs.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7</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charitable contributions to the Autodesk</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Foundation and an increase in employee-related costs.</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 remained flat period over period.</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Restructuring, other exit costs, and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3"/>
                <w:szCs w:val="13"/>
                <w:color w:val="auto"/>
              </w:rPr>
            </w:pPr>
          </w:p>
        </w:tc>
        <w:tc>
          <w:tcPr>
            <w:tcW w:w="940" w:type="dxa"/>
            <w:vAlign w:val="bottom"/>
            <w:gridSpan w:val="2"/>
          </w:tcPr>
          <w:p>
            <w:pPr>
              <w:ind w:left="340"/>
              <w:spacing w:after="0" w:line="158" w:lineRule="exact"/>
              <w:rPr>
                <w:sz w:val="20"/>
                <w:szCs w:val="20"/>
                <w:color w:val="auto"/>
              </w:rPr>
            </w:pPr>
            <w:r>
              <w:rPr>
                <w:rFonts w:ascii="Times New Roman" w:cs="Times New Roman" w:eastAsia="Times New Roman" w:hAnsi="Times New Roman"/>
                <w:sz w:val="16"/>
                <w:szCs w:val="16"/>
                <w:color w:val="auto"/>
              </w:rPr>
              <w:t>NM (1)</w:t>
            </w:r>
          </w:p>
        </w:tc>
        <w:tc>
          <w:tcPr>
            <w:tcW w:w="160" w:type="dxa"/>
            <w:vAlign w:val="bottom"/>
          </w:tcPr>
          <w:p>
            <w:pPr>
              <w:spacing w:after="0"/>
              <w:rPr>
                <w:sz w:val="13"/>
                <w:szCs w:val="13"/>
                <w:color w:val="auto"/>
              </w:rPr>
            </w:pP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The increase is due to the restructuring plan initiated during the first</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facility reductions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quarter of fiscal 2026. See Part I, Item 1, “Financial Statements, Note 16,</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“Restructuring, other exit costs, and facility reductions” for more details.</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8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40" w:type="dxa"/>
            <w:vAlign w:val="bottom"/>
          </w:tcPr>
          <w:p>
            <w:pPr>
              <w:spacing w:after="0"/>
              <w:rPr>
                <w:sz w:val="24"/>
                <w:szCs w:val="24"/>
                <w:color w:val="auto"/>
              </w:rPr>
            </w:pPr>
          </w:p>
        </w:tc>
        <w:tc>
          <w:tcPr>
            <w:tcW w:w="16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84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40" w:type="dxa"/>
            <w:vAlign w:val="bottom"/>
          </w:tcPr>
          <w:p>
            <w:pPr>
              <w:spacing w:after="0"/>
              <w:rPr>
                <w:sz w:val="24"/>
                <w:szCs w:val="24"/>
                <w:color w:val="auto"/>
              </w:rPr>
            </w:pPr>
          </w:p>
        </w:tc>
        <w:tc>
          <w:tcPr>
            <w:tcW w:w="56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cloud hosting costs and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8</w:t>
            </w:r>
          </w:p>
        </w:tc>
        <w:tc>
          <w:tcPr>
            <w:tcW w:w="9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line="160"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9</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technologies as a result of acquisitions in fiscal 2025.</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18985" cy="13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898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19 %</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949</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primarily due to an increase in sales commissions to Solution</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Providers due to the recognition of these costs in marketing and sales</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expense under the new transaction model and the cumulative adjustment</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w w:val="98"/>
              </w:rPr>
              <w:t>related to the Company’s Employee Stock Purchase Plan (see Part I, Item</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1, “Financial Statements, Note 6, “Equity Compensation” for more</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details) partially offset by a decrease in employee-related 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807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93</w:t>
            </w:r>
          </w:p>
        </w:tc>
        <w:tc>
          <w:tcPr>
            <w:tcW w:w="10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13 %</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714</w:t>
            </w:r>
          </w:p>
        </w:tc>
        <w:tc>
          <w:tcPr>
            <w:tcW w:w="48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headcount, the cumulative adjustment related to the Company’s</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w w:val="99"/>
              </w:rPr>
              <w:t>Employee Stock Purchase Plan (see Part I, Item 1, “Financial Statements,</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Note 6, “Equity Compensation” for more details) and an increase in</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cloud hosting costs.</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14</w:t>
            </w:r>
          </w:p>
        </w:tc>
        <w:tc>
          <w:tcPr>
            <w:tcW w:w="104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rPr>
              <w:t>4 %</w:t>
            </w:r>
          </w:p>
        </w:tc>
        <w:tc>
          <w:tcPr>
            <w:tcW w:w="280" w:type="dxa"/>
            <w:vAlign w:val="bottom"/>
          </w:tcPr>
          <w:p>
            <w:pPr>
              <w:spacing w:after="0"/>
              <w:rPr>
                <w:sz w:val="13"/>
                <w:szCs w:val="13"/>
                <w:color w:val="auto"/>
              </w:rPr>
            </w:pPr>
          </w:p>
        </w:tc>
        <w:tc>
          <w:tcPr>
            <w:tcW w:w="60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316</w:t>
            </w: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stock-based compensation</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expense, professional fees and charitable contributions to the Autodesk</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Foundation partially offset by a decrease in acquisition-related 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13 %</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48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w w:val="99"/>
              </w:rPr>
              <w:t>The increase is primarily due to amortization of acquired intangibles as a</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result of acquisitions in fiscal 2025.</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Restructuring, other exit costs, and</w:t>
            </w:r>
          </w:p>
        </w:tc>
        <w:tc>
          <w:tcPr>
            <w:tcW w:w="2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111</w:t>
            </w:r>
          </w:p>
        </w:tc>
        <w:tc>
          <w:tcPr>
            <w:tcW w:w="104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rPr>
              <w:t>NM (1)</w:t>
            </w:r>
          </w:p>
        </w:tc>
        <w:tc>
          <w:tcPr>
            <w:tcW w:w="280" w:type="dxa"/>
            <w:vAlign w:val="bottom"/>
          </w:tcPr>
          <w:p>
            <w:pPr>
              <w:spacing w:after="0"/>
              <w:rPr>
                <w:sz w:val="13"/>
                <w:szCs w:val="13"/>
                <w:color w:val="auto"/>
              </w:rPr>
            </w:pPr>
          </w:p>
        </w:tc>
        <w:tc>
          <w:tcPr>
            <w:tcW w:w="60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w:t>
            </w: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The increase is due to the restructuring plan initiated during the first</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facility reductions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w w:val="99"/>
              </w:rPr>
              <w:t>quarter of fiscal 2026. See Part I, Item 1, “Financial Statements, Note 16,</w:t>
            </w:r>
          </w:p>
        </w:tc>
      </w:tr>
      <w:tr>
        <w:trPr>
          <w:trHeight w:val="209"/>
        </w:trPr>
        <w:tc>
          <w:tcPr>
            <w:tcW w:w="2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w w:val="99"/>
              </w:rPr>
              <w:t>“Restructuring, other exit costs, and facility reductions” for more details.</w:t>
            </w: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397</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20 %</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2,003</w:t>
            </w:r>
          </w:p>
        </w:tc>
        <w:tc>
          <w:tcPr>
            <w:tcW w:w="4800" w:type="dxa"/>
            <w:vAlign w:val="bottom"/>
            <w:tcBorders>
              <w:bottom w:val="single" w:sz="8" w:color="CCEEFF"/>
            </w:tcBorders>
            <w:shd w:val="clear" w:color="auto" w:fill="CCEEFF"/>
          </w:tcPr>
          <w:p>
            <w:pPr>
              <w:spacing w:after="0"/>
              <w:rPr>
                <w:sz w:val="19"/>
                <w:szCs w:val="19"/>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25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between the third quarter of fiscal 2026, as compared to the third quarter of fiscal 2025:</w:t>
      </w:r>
    </w:p>
    <w:p>
      <w:pPr>
        <w:spacing w:after="0" w:line="84"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10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Absolute dollar impact</w:t>
            </w:r>
          </w:p>
        </w:tc>
        <w:tc>
          <w:tcPr>
            <w:tcW w:w="522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100" w:type="dxa"/>
            <w:vAlign w:val="bottom"/>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7"/>
              </w:rPr>
              <w:t>Increase</w:t>
            </w:r>
          </w:p>
        </w:tc>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 expect our cost of revenue to increase as our revenue grows.</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2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We expect marketing and sales expenses to increase with the recognition of</w:t>
            </w:r>
          </w:p>
        </w:tc>
        <w:tc>
          <w:tcPr>
            <w:tcW w:w="0" w:type="dxa"/>
            <w:vAlign w:val="bottom"/>
          </w:tcPr>
          <w:p>
            <w:pPr>
              <w:spacing w:after="0"/>
              <w:rPr>
                <w:sz w:val="1"/>
                <w:szCs w:val="1"/>
                <w:color w:val="auto"/>
              </w:rPr>
            </w:pPr>
          </w:p>
        </w:tc>
      </w:tr>
      <w:tr>
        <w:trPr>
          <w:trHeight w:val="15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210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7"/>
              </w:rPr>
              <w:t>Increase</w:t>
            </w:r>
          </w:p>
        </w:tc>
        <w:tc>
          <w:tcPr>
            <w:tcW w:w="52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Solution Provider commissions under our new transaction model, partially</w:t>
            </w:r>
          </w:p>
        </w:tc>
        <w:tc>
          <w:tcPr>
            <w:tcW w:w="0" w:type="dxa"/>
            <w:vAlign w:val="bottom"/>
          </w:tcPr>
          <w:p>
            <w:pPr>
              <w:spacing w:after="0"/>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2100" w:type="dxa"/>
            <w:vAlign w:val="bottom"/>
            <w:vMerge w:val="continue"/>
          </w:tcPr>
          <w:p>
            <w:pPr>
              <w:spacing w:after="0"/>
              <w:rPr>
                <w:sz w:val="18"/>
                <w:szCs w:val="18"/>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offset by savings from the restructuring initiated in fiscal 2026.</w:t>
            </w:r>
          </w:p>
        </w:tc>
        <w:tc>
          <w:tcPr>
            <w:tcW w:w="0" w:type="dxa"/>
            <w:vAlign w:val="bottom"/>
          </w:tcPr>
          <w:p>
            <w:pPr>
              <w:spacing w:after="0"/>
              <w:rPr>
                <w:sz w:val="1"/>
                <w:szCs w:val="1"/>
                <w:color w:val="auto"/>
              </w:rPr>
            </w:pPr>
          </w:p>
        </w:tc>
      </w:tr>
      <w:tr>
        <w:trPr>
          <w:trHeight w:val="160"/>
        </w:trPr>
        <w:tc>
          <w:tcPr>
            <w:tcW w:w="36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5220" w:type="dxa"/>
            <w:vAlign w:val="bottom"/>
            <w:shd w:val="clear" w:color="auto" w:fill="CCEEFF"/>
          </w:tcPr>
          <w:p>
            <w:pPr>
              <w:ind w:left="240"/>
              <w:spacing w:after="0" w:line="160" w:lineRule="exact"/>
              <w:rPr>
                <w:sz w:val="20"/>
                <w:szCs w:val="20"/>
                <w:color w:val="auto"/>
              </w:rPr>
            </w:pPr>
            <w:r>
              <w:rPr>
                <w:rFonts w:ascii="Times New Roman" w:cs="Times New Roman" w:eastAsia="Times New Roman" w:hAnsi="Times New Roman"/>
                <w:sz w:val="16"/>
                <w:szCs w:val="16"/>
                <w:color w:val="auto"/>
                <w:w w:val="99"/>
              </w:rPr>
              <w:t>We expect our research and development expenses to increase as we continue</w:t>
            </w:r>
          </w:p>
        </w:tc>
        <w:tc>
          <w:tcPr>
            <w:tcW w:w="0" w:type="dxa"/>
            <w:vAlign w:val="bottom"/>
          </w:tcPr>
          <w:p>
            <w:pPr>
              <w:spacing w:after="0"/>
              <w:rPr>
                <w:sz w:val="1"/>
                <w:szCs w:val="1"/>
                <w:color w:val="auto"/>
              </w:rPr>
            </w:pPr>
          </w:p>
        </w:tc>
      </w:tr>
      <w:tr>
        <w:trPr>
          <w:trHeight w:val="158"/>
        </w:trPr>
        <w:tc>
          <w:tcPr>
            <w:tcW w:w="3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100" w:type="dxa"/>
            <w:vAlign w:val="bottom"/>
            <w:vMerge w:val="restart"/>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7"/>
              </w:rPr>
              <w:t>Increase</w:t>
            </w:r>
          </w:p>
        </w:tc>
        <w:tc>
          <w:tcPr>
            <w:tcW w:w="522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our investments in cloud, platform, and artificial intelligence partially offset</w:t>
            </w:r>
          </w:p>
        </w:tc>
        <w:tc>
          <w:tcPr>
            <w:tcW w:w="0" w:type="dxa"/>
            <w:vAlign w:val="bottom"/>
          </w:tcPr>
          <w:p>
            <w:pPr>
              <w:spacing w:after="0"/>
              <w:rPr>
                <w:sz w:val="1"/>
                <w:szCs w:val="1"/>
                <w:color w:val="auto"/>
              </w:rPr>
            </w:pPr>
          </w:p>
        </w:tc>
      </w:tr>
      <w:tr>
        <w:trPr>
          <w:trHeight w:val="211"/>
        </w:trPr>
        <w:tc>
          <w:tcPr>
            <w:tcW w:w="3660" w:type="dxa"/>
            <w:vAlign w:val="bottom"/>
            <w:vMerge w:val="continue"/>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by savings from the restructuring initiated in fiscal 2026.</w:t>
            </w:r>
          </w:p>
        </w:tc>
        <w:tc>
          <w:tcPr>
            <w:tcW w:w="0" w:type="dxa"/>
            <w:vAlign w:val="bottom"/>
          </w:tcPr>
          <w:p>
            <w:pPr>
              <w:spacing w:after="0"/>
              <w:rPr>
                <w:sz w:val="1"/>
                <w:szCs w:val="1"/>
                <w:color w:val="auto"/>
              </w:rPr>
            </w:pPr>
          </w:p>
        </w:tc>
      </w:tr>
      <w:tr>
        <w:trPr>
          <w:trHeight w:val="15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100" w:type="dxa"/>
            <w:vAlign w:val="bottom"/>
            <w:vMerge w:val="restart"/>
          </w:tcPr>
          <w:p>
            <w:pPr>
              <w:jc w:val="center"/>
              <w:ind w:left="162"/>
              <w:spacing w:after="0"/>
              <w:rPr>
                <w:sz w:val="20"/>
                <w:szCs w:val="20"/>
                <w:color w:val="auto"/>
              </w:rPr>
            </w:pPr>
            <w:r>
              <w:rPr>
                <w:rFonts w:ascii="Times New Roman" w:cs="Times New Roman" w:eastAsia="Times New Roman" w:hAnsi="Times New Roman"/>
                <w:sz w:val="16"/>
                <w:szCs w:val="16"/>
                <w:color w:val="auto"/>
                <w:w w:val="98"/>
              </w:rPr>
              <w:t>Decrease</w:t>
            </w:r>
          </w:p>
        </w:tc>
        <w:tc>
          <w:tcPr>
            <w:tcW w:w="52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w w:val="98"/>
              </w:rPr>
              <w:t>We expect general and administrative expenses to slightly decrease as we gain</w:t>
            </w:r>
          </w:p>
        </w:tc>
        <w:tc>
          <w:tcPr>
            <w:tcW w:w="0" w:type="dxa"/>
            <w:vAlign w:val="bottom"/>
          </w:tcPr>
          <w:p>
            <w:pPr>
              <w:spacing w:after="0"/>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2100" w:type="dxa"/>
            <w:vAlign w:val="bottom"/>
            <w:vMerge w:val="continue"/>
          </w:tcPr>
          <w:p>
            <w:pPr>
              <w:spacing w:after="0"/>
              <w:rPr>
                <w:sz w:val="18"/>
                <w:szCs w:val="18"/>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operational leverage.</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100" w:type="dxa"/>
            <w:vAlign w:val="bottom"/>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6"/>
              </w:rPr>
              <w:t>Flat</w:t>
            </w:r>
          </w:p>
        </w:tc>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 expect our amortization of purchased intangibles to remain unchanged.</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2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w w:val="99"/>
              </w:rPr>
              <w:t>We expect restructuring, other exit costs, and facility reductions to increase as</w:t>
            </w:r>
          </w:p>
        </w:tc>
        <w:tc>
          <w:tcPr>
            <w:tcW w:w="0" w:type="dxa"/>
            <w:vAlign w:val="bottom"/>
          </w:tcPr>
          <w:p>
            <w:pPr>
              <w:spacing w:after="0"/>
              <w:rPr>
                <w:sz w:val="1"/>
                <w:szCs w:val="1"/>
                <w:color w:val="auto"/>
              </w:rPr>
            </w:pPr>
          </w:p>
        </w:tc>
      </w:tr>
      <w:tr>
        <w:trPr>
          <w:trHeight w:val="15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210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7"/>
              </w:rPr>
              <w:t>Increase</w:t>
            </w:r>
          </w:p>
        </w:tc>
        <w:tc>
          <w:tcPr>
            <w:tcW w:w="52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compared to the third quarter of fiscal 2025 for remaining charges related to</w:t>
            </w:r>
          </w:p>
        </w:tc>
        <w:tc>
          <w:tcPr>
            <w:tcW w:w="0" w:type="dxa"/>
            <w:vAlign w:val="bottom"/>
          </w:tcPr>
          <w:p>
            <w:pPr>
              <w:spacing w:after="0"/>
              <w:rPr>
                <w:sz w:val="1"/>
                <w:szCs w:val="1"/>
                <w:color w:val="auto"/>
              </w:rPr>
            </w:pPr>
          </w:p>
        </w:tc>
      </w:tr>
      <w:tr>
        <w:trPr>
          <w:trHeight w:val="207"/>
        </w:trPr>
        <w:tc>
          <w:tcPr>
            <w:tcW w:w="36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 restructuring plan initiated during the first quarter of fiscal 2026.</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shd w:val="clear" w:color="auto" w:fill="CCEEFF"/>
          </w:tcPr>
          <w:p>
            <w:pPr>
              <w:spacing w:after="0"/>
              <w:rPr>
                <w:sz w:val="17"/>
                <w:szCs w:val="17"/>
                <w:color w:val="auto"/>
              </w:rPr>
            </w:pPr>
          </w:p>
        </w:tc>
        <w:tc>
          <w:tcPr>
            <w:tcW w:w="2500" w:type="dxa"/>
            <w:vAlign w:val="bottom"/>
            <w:gridSpan w:val="4"/>
            <w:shd w:val="clear" w:color="auto" w:fill="CCEEFF"/>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(loss) income, net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currency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strategic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Interest and other income, net, increased by $3 million during the three months ended July 31, 2025 and decreased by $6 million during the six months ended July 31, 2025, as compared to the same periods in the prior fiscal year. The increase in the three months ended July 31, 2025, as compared to the same period in the prior fiscal year was primarily due to a decrease in losses on strategic investment equity securities. The decrease in the six months ended July 31, 2025, as compared to the same period in the prior fiscal year was primarily due to a decrease in interest income in the current period and a decrease in gains for investments in debt and equity securities that are held in a rabbi trust under non-qualified deferred compensation plans as compared to the same period in the prior fiscal year.</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9" w:lineRule="exact"/>
        <w:rPr>
          <w:sz w:val="20"/>
          <w:szCs w:val="20"/>
          <w:color w:val="auto"/>
        </w:rPr>
      </w:pPr>
    </w:p>
    <w:p>
      <w:pPr>
        <w:ind w:firstLine="434"/>
        <w:spacing w:after="0" w:line="241" w:lineRule="auto"/>
        <w:rPr>
          <w:sz w:val="20"/>
          <w:szCs w:val="20"/>
          <w:color w:val="auto"/>
        </w:rPr>
      </w:pPr>
      <w:r>
        <w:rPr>
          <w:rFonts w:ascii="Times New Roman" w:cs="Times New Roman" w:eastAsia="Times New Roman" w:hAnsi="Times New Roman"/>
          <w:sz w:val="18"/>
          <w:szCs w:val="18"/>
          <w:color w:val="auto"/>
        </w:rPr>
        <w:t>We had income tax expense of $143 million, relative to pre-tax income of $456 million for the three months ended July 31, 2025, and income tax expense of $70 million, relative to pre-tax income of $352 million for the three months ended July 31, 2024. Income tax expense for the three months ended July 31, 2025, reflects U.S. and foreign tax expense, including withholding tax, reduced by tax-deductible stock-based compensation, and tax credits.</w:t>
      </w:r>
    </w:p>
    <w:p>
      <w:pPr>
        <w:spacing w:after="0" w:line="205" w:lineRule="exact"/>
        <w:rPr>
          <w:sz w:val="20"/>
          <w:szCs w:val="20"/>
          <w:color w:val="auto"/>
        </w:rPr>
      </w:pPr>
    </w:p>
    <w:p>
      <w:pPr>
        <w:ind w:right="40" w:firstLine="434"/>
        <w:spacing w:after="0" w:line="241" w:lineRule="auto"/>
        <w:rPr>
          <w:sz w:val="20"/>
          <w:szCs w:val="20"/>
          <w:color w:val="auto"/>
        </w:rPr>
      </w:pPr>
      <w:r>
        <w:rPr>
          <w:rFonts w:ascii="Times New Roman" w:cs="Times New Roman" w:eastAsia="Times New Roman" w:hAnsi="Times New Roman"/>
          <w:sz w:val="18"/>
          <w:szCs w:val="18"/>
          <w:color w:val="auto"/>
        </w:rPr>
        <w:t>We had income tax expense of $225 million, relative to pre-tax income of $690 million for the six months ended July 31, 2025, and income tax expense of $127 million, relative to pre-tax income of $661 million for the six months ended July 31, 2024. Income tax expense for the six months ended July 31, 2025, reflects U.S. and foreign tax expense, including withholding tax, reduced by tax-deductible stock-based compensation, and tax credits.</w:t>
      </w:r>
    </w:p>
    <w:p>
      <w:pPr>
        <w:spacing w:after="0" w:line="205" w:lineRule="exact"/>
        <w:rPr>
          <w:sz w:val="20"/>
          <w:szCs w:val="20"/>
          <w:color w:val="auto"/>
        </w:rPr>
      </w:pPr>
    </w:p>
    <w:p>
      <w:pPr>
        <w:ind w:right="100" w:firstLine="434"/>
        <w:spacing w:after="0" w:line="234" w:lineRule="auto"/>
        <w:rPr>
          <w:sz w:val="20"/>
          <w:szCs w:val="20"/>
          <w:color w:val="auto"/>
        </w:rPr>
      </w:pPr>
      <w:r>
        <w:rPr>
          <w:rFonts w:ascii="Times New Roman" w:cs="Times New Roman" w:eastAsia="Times New Roman" w:hAnsi="Times New Roman"/>
          <w:sz w:val="18"/>
          <w:szCs w:val="18"/>
          <w:color w:val="auto"/>
        </w:rPr>
        <w:t>The income tax expense for both the three and the six months ended July 31, 2025, increased compared to the corresponding periods in fiscal year 2024, primarily due to the election made in the U.S. regarding the timing of taxation of revenue, which reduced the taxable benefit arising from foreign-derived deduction-eligible income (“FDDEI”) and increased tax expense associated with NCTI due to the tax law change to full expensing of U.S. research and development expenses under the One Big Beautiful Bill Act (“OBBBA”).</w:t>
      </w:r>
    </w:p>
    <w:p>
      <w:pPr>
        <w:spacing w:after="0" w:line="206" w:lineRule="exact"/>
        <w:rPr>
          <w:sz w:val="20"/>
          <w:szCs w:val="20"/>
          <w:color w:val="auto"/>
        </w:rPr>
      </w:pPr>
    </w:p>
    <w:p>
      <w:pPr>
        <w:ind w:right="200" w:firstLine="395"/>
        <w:spacing w:after="0" w:line="236" w:lineRule="auto"/>
        <w:rPr>
          <w:sz w:val="20"/>
          <w:szCs w:val="20"/>
          <w:color w:val="auto"/>
        </w:rPr>
      </w:pPr>
      <w:r>
        <w:rPr>
          <w:rFonts w:ascii="Times New Roman" w:cs="Times New Roman" w:eastAsia="Times New Roman" w:hAnsi="Times New Roman"/>
          <w:sz w:val="18"/>
          <w:szCs w:val="18"/>
          <w:color w:val="auto"/>
        </w:rPr>
        <w:t>The U.S. Tax Cut and Jobs Act (“Tax Act”) enacted on December 22, 2017, requires taxpayers to capitalize and amortize research and development expenses over five or fifteen years beginning in fiscal 2023. On July 4, 2025, the enactment of the OBBBA permanently eliminated the requirement to capitalize and amortize U.S. research and development expenses, thus, reducing the capitalization requirement to foreign research and development expenses only. In addition to this change, the OBBBA includes a broad range of tax reform provisions initially established by the Tax Act. The OBBBA has multiple effective dates, with certain provisions effective in fiscal year 2026 and others effective in fiscal year 2027.</w:t>
      </w:r>
    </w:p>
    <w:p>
      <w:pPr>
        <w:spacing w:after="0" w:line="206" w:lineRule="exact"/>
        <w:rPr>
          <w:sz w:val="20"/>
          <w:szCs w:val="20"/>
          <w:color w:val="auto"/>
        </w:rPr>
      </w:pPr>
    </w:p>
    <w:p>
      <w:pPr>
        <w:ind w:right="240" w:firstLine="395"/>
        <w:spacing w:after="0" w:line="253" w:lineRule="auto"/>
        <w:rPr>
          <w:sz w:val="20"/>
          <w:szCs w:val="20"/>
          <w:color w:val="auto"/>
        </w:rPr>
      </w:pPr>
      <w:r>
        <w:rPr>
          <w:rFonts w:ascii="Times New Roman" w:cs="Times New Roman" w:eastAsia="Times New Roman" w:hAnsi="Times New Roman"/>
          <w:sz w:val="18"/>
          <w:szCs w:val="18"/>
          <w:color w:val="auto"/>
        </w:rPr>
        <w:t>We have reasonably estimated the tax effects of OBBBA and included the impact in our provision for income taxes as of July 31, 2025. In addition, we anticipate future cash tax savings, as a result of the full expensing of U.S. research and development expenses under the OBBBA.</w:t>
      </w:r>
    </w:p>
    <w:p>
      <w:pPr>
        <w:spacing w:after="0" w:line="195" w:lineRule="exact"/>
        <w:rPr>
          <w:sz w:val="20"/>
          <w:szCs w:val="20"/>
          <w:color w:val="auto"/>
        </w:rPr>
      </w:pPr>
    </w:p>
    <w:p>
      <w:pPr>
        <w:ind w:right="160" w:firstLine="434"/>
        <w:spacing w:after="0" w:line="241" w:lineRule="auto"/>
        <w:rPr>
          <w:sz w:val="20"/>
          <w:szCs w:val="20"/>
          <w:color w:val="auto"/>
        </w:rPr>
      </w:pPr>
      <w:r>
        <w:rPr>
          <w:rFonts w:ascii="Times New Roman" w:cs="Times New Roman" w:eastAsia="Times New Roman" w:hAnsi="Times New Roman"/>
          <w:sz w:val="18"/>
          <w:szCs w:val="18"/>
          <w:color w:val="auto"/>
        </w:rPr>
        <w:t>We filed an election in the U.S. for fiscal year 2026 that will more closely align the timing of taxation of our revenue with our U.S. GAAP revenue recognition principles. The impact of this election reduces our estimated tax payments and increases our provision for income taxes due to the loss of taxation benefits through FDDEI and NCTI tax regimes.</w:t>
      </w:r>
    </w:p>
    <w:p>
      <w:pPr>
        <w:spacing w:after="0" w:line="205"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193" w:lineRule="exact"/>
        <w:rPr>
          <w:sz w:val="20"/>
          <w:szCs w:val="20"/>
          <w:color w:val="auto"/>
        </w:rPr>
      </w:pPr>
    </w:p>
    <w:p>
      <w:pPr>
        <w:ind w:right="100" w:firstLine="395"/>
        <w:spacing w:after="0" w:line="236"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4" w:name="page45"/>
    <w:bookmarkEnd w:id="44"/>
    <w:p>
      <w:pPr>
        <w:ind w:right="280" w:firstLine="395"/>
        <w:spacing w:after="0" w:line="241"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We expect that this will not have a material impact on our provision for income taxes in the current fiscal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2"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In addition to our results determined under GAAP discussed above, we believe the following non-GAAP measures are useful to investors in evaluating our operating performance. For the three and six months ended July 31, 2025 and 2024, our gross profit, income from operations, operating margin, net income, and diluted net income per share on a GAAP and non-GAAP basis were as follows (in millions except for operating margin and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1,604</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3,077</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2,645</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4"/>
              </w:rPr>
              <w:t>1,640</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3,151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2,706</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444</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677</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642</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681</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1,289</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1,050</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313</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465</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534</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563</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1,057</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871</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1.46</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2.15</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2.46</w:t>
            </w: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2.62</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4.89</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4.01</w:t>
            </w:r>
          </w:p>
        </w:tc>
      </w:tr>
    </w:tbl>
    <w:p>
      <w:pPr>
        <w:spacing w:after="0" w:line="31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21"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 w:name="page46"/>
    <w:bookmarkEnd w:id="45"/>
    <w:p>
      <w:pPr>
        <w:ind w:right="5240"/>
        <w:spacing w:after="0" w:line="455" w:lineRule="auto"/>
        <w:rPr>
          <w:sz w:val="20"/>
          <w:szCs w:val="20"/>
          <w:color w:val="auto"/>
        </w:rPr>
      </w:pPr>
      <w:r>
        <w:rPr>
          <w:rFonts w:ascii="Times New Roman" w:cs="Times New Roman" w:eastAsia="Times New Roman" w:hAnsi="Times New Roman"/>
          <w:sz w:val="18"/>
          <w:szCs w:val="18"/>
          <w:b w:val="1"/>
          <w:bCs w:val="1"/>
          <w:color w:val="auto"/>
        </w:rPr>
        <w:t xml:space="preserve">Reconciliation of GAAP Financial Measures to Non-GAAP Financial Measures </w:t>
      </w:r>
      <w:r>
        <w:rPr>
          <w:rFonts w:ascii="Times New Roman" w:cs="Times New Roman" w:eastAsia="Times New Roman" w:hAnsi="Times New Roman"/>
          <w:sz w:val="18"/>
          <w:szCs w:val="18"/>
          <w:color w:val="auto"/>
        </w:rPr>
        <w:t>(In millions except for operating margin and per share data):</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234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2,645</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w:t>
            </w:r>
          </w:p>
        </w:tc>
      </w:tr>
      <w:tr>
        <w:trPr>
          <w:trHeight w:val="202"/>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2,706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8"/>
        </w:trPr>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8"/>
                <w:szCs w:val="18"/>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642</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319</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8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Non-GAAP operating margin (1)</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8"/>
        </w:trPr>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319</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5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Income tax adjustments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(77)</w:t>
            </w:r>
          </w:p>
        </w:tc>
      </w:tr>
      <w:tr>
        <w:trPr>
          <w:trHeight w:val="22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871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2.46</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1.47</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0.28</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8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0.13</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0.03</w:t>
            </w:r>
          </w:p>
        </w:tc>
      </w:tr>
      <w:tr>
        <w:trPr>
          <w:trHeight w:val="212"/>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 adjustments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(0.36)</w:t>
            </w:r>
          </w:p>
        </w:tc>
      </w:tr>
      <w:tr>
        <w:trPr>
          <w:trHeight w:val="202"/>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4.01</w:t>
            </w:r>
          </w:p>
        </w:tc>
      </w:tr>
      <w:tr>
        <w:trPr>
          <w:trHeight w:val="21"/>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Totals may not sum due to rounding.</w:t>
      </w:r>
    </w:p>
    <w:p>
      <w:pPr>
        <w:spacing w:after="0" w:line="223"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38" w:lineRule="exact"/>
        <w:rPr>
          <w:sz w:val="20"/>
          <w:szCs w:val="20"/>
          <w:color w:val="auto"/>
        </w:rPr>
      </w:pPr>
    </w:p>
    <w:p>
      <w:pPr>
        <w:ind w:right="1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69" w:right="419" w:bottom="1440" w:gutter="0" w:footer="0" w:header="0"/>
        </w:sectPr>
      </w:pPr>
    </w:p>
    <w:bookmarkStart w:id="46" w:name="page47"/>
    <w:bookmarkEnd w:id="46"/>
    <w:p>
      <w:pPr>
        <w:ind w:right="60"/>
        <w:spacing w:after="0" w:line="268" w:lineRule="auto"/>
        <w:rPr>
          <w:sz w:val="20"/>
          <w:szCs w:val="20"/>
          <w:color w:val="auto"/>
        </w:rPr>
      </w:pPr>
      <w:r>
        <w:rPr>
          <w:rFonts w:ascii="Times New Roman" w:cs="Times New Roman" w:eastAsia="Times New Roman" w:hAnsi="Times New Roman"/>
          <w:sz w:val="18"/>
          <w:szCs w:val="18"/>
          <w:color w:val="auto"/>
        </w:rPr>
        <w:t>can use under FASB ASC Topic 718, we believe excluding stock-based compensation expenses allows investors to make meaningful comparisons between our recurring core business operating results and those of other companies.</w:t>
      </w:r>
    </w:p>
    <w:p>
      <w:pPr>
        <w:spacing w:after="0" w:line="19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98" w:lineRule="exact"/>
        <w:rPr>
          <w:sz w:val="20"/>
          <w:szCs w:val="20"/>
          <w:color w:val="auto"/>
        </w:rPr>
      </w:pPr>
    </w:p>
    <w:p>
      <w:pPr>
        <w:jc w:val="both"/>
        <w:ind w:right="80" w:firstLine="395"/>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spacing w:after="0" w:line="219" w:lineRule="exact"/>
        <w:rPr>
          <w:sz w:val="20"/>
          <w:szCs w:val="20"/>
          <w:color w:val="auto"/>
        </w:rPr>
      </w:pPr>
    </w:p>
    <w:p>
      <w:pPr>
        <w:jc w:val="both"/>
        <w:ind w:right="16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Restructuring, other exit costs, and facility reductions. </w:t>
      </w:r>
      <w:r>
        <w:rPr>
          <w:rFonts w:ascii="Times New Roman" w:cs="Times New Roman" w:eastAsia="Times New Roman" w:hAnsi="Times New Roman"/>
          <w:sz w:val="16"/>
          <w:szCs w:val="16"/>
          <w:color w:val="auto"/>
        </w:rPr>
        <w:t>These expenses are associated with realigning our business strategies based on current economic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In connection with these restructuring actions or other exit actions, we recognize costs related to termination benefits for former employees whose positions were eliminated, the reduction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64" w:lineRule="exact"/>
        <w:rPr>
          <w:sz w:val="20"/>
          <w:szCs w:val="20"/>
          <w:color w:val="auto"/>
        </w:rPr>
      </w:pPr>
    </w:p>
    <w:p>
      <w:pPr>
        <w:ind w:right="20" w:firstLine="395"/>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Loss (gain) on strategic investments and dispositions. </w:t>
      </w:r>
      <w:r>
        <w:rPr>
          <w:rFonts w:ascii="Times New Roman" w:cs="Times New Roman" w:eastAsia="Times New Roman" w:hAnsi="Times New Roman"/>
          <w:sz w:val="16"/>
          <w:szCs w:val="16"/>
          <w:color w:val="auto"/>
        </w:rPr>
        <w:t>We exclude gains and losses related to our strategic investments and dispositions of strategic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Income tax adjustments. </w:t>
      </w:r>
      <w:r>
        <w:rPr>
          <w:rFonts w:ascii="Times New Roman" w:cs="Times New Roman" w:eastAsia="Times New Roman" w:hAnsi="Times New Roman"/>
          <w:sz w:val="18"/>
          <w:szCs w:val="18"/>
          <w:color w:val="auto"/>
        </w:rPr>
        <w:t>The income tax effects that are excluded from the non-GAAP measures relate to the tax impact on the difference between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non-GAAP expenses, primarily due to stock-based compensation, amortization of purchased intangibles, and restructuring, other exit costs, and facility reductions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At July 31, 2025, our principal sources of liquidity were cash, cash equivalents, and marketable securities totaling $2.52 billion, net accounts receivable of $532 million, and our revolving loan facility.</w:t>
      </w:r>
    </w:p>
    <w:p>
      <w:pPr>
        <w:spacing w:after="0" w:line="183" w:lineRule="exact"/>
        <w:rPr>
          <w:sz w:val="20"/>
          <w:szCs w:val="20"/>
          <w:color w:val="auto"/>
        </w:rPr>
      </w:pPr>
    </w:p>
    <w:p>
      <w:pPr>
        <w:ind w:right="20" w:firstLine="395"/>
        <w:spacing w:after="0" w:line="276" w:lineRule="auto"/>
        <w:rPr>
          <w:sz w:val="20"/>
          <w:szCs w:val="20"/>
          <w:color w:val="auto"/>
        </w:rPr>
      </w:pPr>
      <w:r>
        <w:rPr>
          <w:rFonts w:ascii="Times New Roman" w:cs="Times New Roman" w:eastAsia="Times New Roman" w:hAnsi="Times New Roman"/>
          <w:sz w:val="16"/>
          <w:szCs w:val="16"/>
          <w:color w:val="auto"/>
        </w:rPr>
        <w:t>In May 2025, the Company terminated its previous credit agreement and entered into a new Credit Agreement (the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proceeds from the 2025 Credit Agreement are available for working capital and general corporate purposes. At July 31, 2025,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p>
      <w:pPr>
        <w:spacing w:after="0" w:line="276" w:lineRule="auto"/>
        <w:rPr>
          <w:sz w:val="20"/>
          <w:szCs w:val="20"/>
          <w:color w:val="auto"/>
        </w:rPr>
      </w:pPr>
      <w:r>
        <w:rPr>
          <w:rFonts w:ascii="Times New Roman" w:cs="Times New Roman" w:eastAsia="Times New Roman" w:hAnsi="Times New Roman"/>
          <w:sz w:val="16"/>
          <w:szCs w:val="16"/>
          <w:color w:val="auto"/>
        </w:rPr>
        <w:t>Autodesk had no outstanding borrowings under the 2025 Credit Agreement. See Part I, Item 1, “Financial Statements,” Note 13, “Borrowing Arrangements,” in the Notes to Condensed Consolidated Financial Statements for further discussion on our covenant requirements and additional information with respect to the 2025 Credit Agreement. If we are unable to remain in compliance with the covenants under the 2025 Credit Agreement, we will not be able to draw on our revolving credit facility. Additionally, as of September 2, 2025, we have no amounts outstanding under the 2025 Credit Agreement.</w:t>
      </w:r>
    </w:p>
    <w:p>
      <w:pPr>
        <w:spacing w:after="0" w:line="180" w:lineRule="exact"/>
        <w:rPr>
          <w:sz w:val="20"/>
          <w:szCs w:val="20"/>
          <w:color w:val="auto"/>
        </w:rPr>
      </w:pPr>
    </w:p>
    <w:p>
      <w:pPr>
        <w:ind w:right="720" w:firstLine="395"/>
        <w:spacing w:after="0" w:line="253" w:lineRule="auto"/>
        <w:rPr>
          <w:sz w:val="20"/>
          <w:szCs w:val="20"/>
          <w:color w:val="auto"/>
        </w:rPr>
      </w:pPr>
      <w:r>
        <w:rPr>
          <w:rFonts w:ascii="Times New Roman" w:cs="Times New Roman" w:eastAsia="Times New Roman" w:hAnsi="Times New Roman"/>
          <w:sz w:val="18"/>
          <w:szCs w:val="18"/>
          <w:color w:val="auto"/>
        </w:rPr>
        <w:t>As of July 31, 2025, we have $2.50 billion aggregate principal amount of notes outstanding. See Part I, Item 1, “Financial Statements,” Note 13, “Borrowing Arrangements,” in the Notes to Condensed Consolidated Financial Statements for further discussion.</w:t>
      </w:r>
    </w:p>
    <w:p>
      <w:pPr>
        <w:spacing w:after="0" w:line="20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Our cash and cash equivalents and marketable securities balances are concentrated in a few locations around the world, with substantial amounts held outside of the United States. As of July 31, 2025, approximately 49% of our total cash and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10"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9"/>
              </w:rPr>
              <w:t>706</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23"/>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$1,024 million for the six months ended July 31, 2025, primarily consisted of $465 million of our net income adjusted for $885 million non-cash items such as stock-based compensation expense, restructuring, other exit costs, and facility reductions, amortization of costs to obtain a contract with a customer, depreciation, amortization, and accretion expense, and deferred income tax. The decrease in working capital is primarily due to a negative change in prepaid expenses and other assets of $539 million, and a decrease in deferred revenue of $287 million due to the timing of our billing installments and seasonality of billings in the fourth fiscal quarter, partially offset by the change in accounts receivable of $476 million due to the seasonality of our billings in the fourth fiscal quarter and timing of cash collections from customers.</w:t>
      </w:r>
    </w:p>
    <w:p>
      <w:pPr>
        <w:spacing w:after="0" w:line="21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of $706 million for the six months ended July 31, 2024, primarily consisted of $534 million of our net income adjusted for $442 million non-cash items such as stock-based compensation expense, amortization of costs to obtain a contract with a customer, depreciation, amortization, and accretion expense, and deferred income tax. The decrease in working capital is primarily due to a decrease in deferred revenue of $577 million due to the timing of our billing installments and seasonality of billings in the fourth fiscal quarter partially offset by the change in accounts receivable of $477 million due to the seasonality of our billings in the fourth fiscal quarter and timing of cash collections from customers.</w:t>
      </w:r>
    </w:p>
    <w:p>
      <w:pPr>
        <w:spacing w:after="0" w:line="212"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Net cash provided by investing activities was $8 million for the six months ended July 31, 2025, primarily due to sales and maturities of marketable securities partially offset by purchases of marketable securities. Net cash used in investing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8" w:name="page49"/>
    <w:bookmarkEnd w:id="48"/>
    <w:p>
      <w:pPr>
        <w:ind w:right="140"/>
        <w:spacing w:after="0" w:line="268" w:lineRule="auto"/>
        <w:rPr>
          <w:sz w:val="20"/>
          <w:szCs w:val="20"/>
          <w:color w:val="auto"/>
        </w:rPr>
      </w:pPr>
      <w:r>
        <w:rPr>
          <w:rFonts w:ascii="Times New Roman" w:cs="Times New Roman" w:eastAsia="Times New Roman" w:hAnsi="Times New Roman"/>
          <w:sz w:val="18"/>
          <w:szCs w:val="18"/>
          <w:color w:val="auto"/>
        </w:rPr>
        <w:t>activities was $864 million for the six months ended July 31, 2024, primarily due to business combinations, net of cash acquired, and purchases of marketable securities partially offset by the sales and maturities of marketable securities.</w:t>
      </w:r>
    </w:p>
    <w:p>
      <w:pPr>
        <w:spacing w:after="0" w:line="19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was $634 million for the six months ended July 31, 2025, primarily due to the repurchases of common stock and payment of notes payable due in June 2025 partially offset by the proceeds from the issuance of notes payable due in June 2035. Net cash used in financing activities was $221 million for the six months ended July 31, 2024, primarily due to taxes paid related to net share settlement of equity awards and repurchases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July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4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2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 May 31</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291.46</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1 - June 30</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299.31</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July 31</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300.74</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0" w:type="dxa"/>
            <w:vAlign w:val="bottom"/>
          </w:tcPr>
          <w:p>
            <w:pPr>
              <w:spacing w:after="0"/>
              <w:rPr>
                <w:sz w:val="1"/>
                <w:szCs w:val="1"/>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1,186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297.59</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plans approved by the Board of Directors.</w:t>
      </w:r>
    </w:p>
    <w:p>
      <w:pPr>
        <w:spacing w:after="0" w:line="4" w:lineRule="exact"/>
        <w:rPr>
          <w:rFonts w:ascii="Times New Roman" w:cs="Times New Roman" w:eastAsia="Times New Roman" w:hAnsi="Times New Roman"/>
          <w:sz w:val="16"/>
          <w:szCs w:val="16"/>
          <w:color w:val="auto"/>
        </w:rPr>
      </w:pPr>
    </w:p>
    <w:p>
      <w:pPr>
        <w:jc w:val="both"/>
        <w:ind w:left="400" w:right="420" w:hanging="395"/>
        <w:spacing w:after="0" w:line="253"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plans publicly announced and approved by the Board of Directors in November 2022 and November 2024 that each authorized the repurchase of $5 billion. At July 31, 2025, $3.17 billion and $5 billion remained available for repurchase under the November 2022 and November 2024 repurchase programs, respectively. The plans do not have a fixed expiration date. See Part I, Item 1, “Financial Statements,” Note 18, “Stockholders' Equity,” in the Notes to the Condensed Consolidated Financial Statements for further discussion.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Cloud Service Offerings: </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4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Maintenance Plan: </w:t>
      </w:r>
      <w:r>
        <w:rPr>
          <w:rFonts w:ascii="Times New Roman" w:cs="Times New Roman" w:eastAsia="Times New Roman" w:hAnsi="Times New Roman"/>
          <w:sz w:val="16"/>
          <w:szCs w:val="16"/>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Autodesk Build, BIM Collaborate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BuildingConnected, Fusion, and Flow Production Tracking. Certain products, such as Fusion, incorporate both Design and Make functionality and are classified as Make.</w:t>
      </w:r>
    </w:p>
    <w:p>
      <w:pPr>
        <w:spacing w:after="0" w:line="2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Net Revenue Retention Rate (NR3): </w:t>
      </w:r>
      <w:r>
        <w:rPr>
          <w:rFonts w:ascii="Times New Roman" w:cs="Times New Roman" w:eastAsia="Times New Roman" w:hAnsi="Times New Roman"/>
          <w:sz w:val="16"/>
          <w:szCs w:val="16"/>
          <w:color w:val="auto"/>
        </w:rPr>
        <w:t>Measures the year-over-year change in Recurring Revenue for the population of customers that existed one year ago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77"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Product Family: </w:t>
      </w:r>
      <w:r>
        <w:rPr>
          <w:rFonts w:ascii="Times New Roman" w:cs="Times New Roman" w:eastAsia="Times New Roman" w:hAnsi="Times New Roman"/>
          <w:sz w:val="18"/>
          <w:szCs w:val="18"/>
          <w:color w:val="auto"/>
        </w:rPr>
        <w:t>A grouping of related products or solutions that address specific industry or market needs, customer types, or use cases, or share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spacing w:after="0" w:line="2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amount of revenue we expect to recognize in the next twelve months.</w:t>
      </w:r>
    </w:p>
    <w:p>
      <w:pPr>
        <w:spacing w:after="0" w:line="190"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Solution Provider: </w:t>
      </w:r>
      <w:r>
        <w:rPr>
          <w:rFonts w:ascii="Times New Roman" w:cs="Times New Roman" w:eastAsia="Times New Roman" w:hAnsi="Times New Roman"/>
          <w:sz w:val="18"/>
          <w:szCs w:val="18"/>
          <w:color w:val="auto"/>
        </w:rPr>
        <w:t>Solution Provider is the name of our channel partners who primarily serve our new transaction model customers worldwide.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may also be resellers in relation to Autodesk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Spend: </w:t>
      </w:r>
      <w:r>
        <w:rPr>
          <w:rFonts w:ascii="Times New Roman" w:cs="Times New Roman" w:eastAsia="Times New Roman" w:hAnsi="Times New Roman"/>
          <w:sz w:val="18"/>
          <w:szCs w:val="18"/>
          <w:color w:val="auto"/>
        </w:rPr>
        <w:t>The sum of cost of revenue and operating expenses.</w:t>
      </w:r>
    </w:p>
    <w:p>
      <w:pPr>
        <w:spacing w:after="0" w:line="2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0"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Unbilled Deferred Revenue: </w:t>
      </w:r>
      <w:r>
        <w:rPr>
          <w:rFonts w:ascii="Times New Roman" w:cs="Times New Roman" w:eastAsia="Times New Roman" w:hAnsi="Times New Roman"/>
          <w:sz w:val="16"/>
          <w:szCs w:val="16"/>
          <w:color w:val="auto"/>
        </w:rPr>
        <w:t>Unbilled deferred revenue represents contractually stated or committed orders under early renewal and multi-year billing plans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120" w:firstLine="434"/>
        <w:spacing w:after="0" w:line="248"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2025, and January 31, 2025, we had open cash flow and balance sheet hedge contracts with future settlements generally within one to 12 months. Contracts were primarily denominated in Euros, Japanese yen, British pounds, Singapore dollars, Australian dollars, Swiss francs, and Indian rupees. We do not enter into foreign exchange derivative instruments for trading or speculative purposes.</w:t>
      </w:r>
    </w:p>
    <w:p>
      <w:pPr>
        <w:spacing w:after="0" w:line="213"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314"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July 31, 2025, and January 31, 2025, would increase the fair value of our foreign currency contracts by $117 million and $209 million, respectively. A hypothetical 10% depreciation of the dollar from its value at July 31, 2025, and January 31, 2025, would decrease the fair value of our foreign currency contracts by $130 million and $116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July 31, 2025, we had $1.79 billion of cash equivalents and marketable securities, including $233 million classified as short-term marketable securities and $282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July 31, 2025,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1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spacing w:after="0" w:line="212"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On July 18, 2025, the Court granted defendants’ motion to dismiss with leave to amend. On August 8, 2025, plaintiffs filed an amended complaint, which purports to assert claims under Sections 10(b) and 20(a) of the Exchange Act, and Rule 10b-5 promulgated thereunder. Defendants’ motion to dismiss the complaint was filed on August 29, 2025. At this stage, the Company cannot reasonably estimate the amount of any possible financial loss that could result from this matter.</w:t>
      </w:r>
    </w:p>
    <w:p>
      <w:pPr>
        <w:spacing w:after="0" w:line="221" w:lineRule="exact"/>
        <w:rPr>
          <w:sz w:val="20"/>
          <w:szCs w:val="20"/>
          <w:color w:val="auto"/>
        </w:rPr>
      </w:pPr>
    </w:p>
    <w:p>
      <w:pPr>
        <w:ind w:right="40" w:firstLine="395"/>
        <w:spacing w:after="0" w:line="279" w:lineRule="auto"/>
        <w:rPr>
          <w:sz w:val="20"/>
          <w:szCs w:val="20"/>
          <w:color w:val="auto"/>
        </w:rPr>
      </w:pPr>
      <w:r>
        <w:rPr>
          <w:rFonts w:ascii="Times New Roman" w:cs="Times New Roman" w:eastAsia="Times New Roman" w:hAnsi="Times New Roman"/>
          <w:sz w:val="16"/>
          <w:szCs w:val="16"/>
          <w:color w:val="auto"/>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 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above. The plaintiff in the District of Delaware action filed a notice of voluntary dismissal of the action without prejudice on April 4, 2025, which the Court entered on 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29" w:lineRule="exact"/>
        <w:rPr>
          <w:sz w:val="20"/>
          <w:szCs w:val="20"/>
          <w:color w:val="auto"/>
        </w:rPr>
      </w:pPr>
    </w:p>
    <w:p>
      <w:pPr>
        <w:ind w:right="240" w:firstLine="395"/>
        <w:spacing w:after="0" w:line="24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3" w:lineRule="exact"/>
        <w:rPr>
          <w:sz w:val="20"/>
          <w:szCs w:val="20"/>
          <w:color w:val="auto"/>
        </w:rPr>
      </w:pPr>
    </w:p>
    <w:p>
      <w:pPr>
        <w:ind w:left="640" w:right="500" w:hanging="319"/>
        <w:spacing w:after="0" w:line="234"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Global economic and political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22" w:lineRule="exact"/>
        <w:rPr>
          <w:rFonts w:ascii="Arial" w:cs="Arial" w:eastAsia="Arial" w:hAnsi="Arial"/>
          <w:sz w:val="21"/>
          <w:szCs w:val="21"/>
          <w:color w:val="auto"/>
        </w:rPr>
      </w:pPr>
    </w:p>
    <w:p>
      <w:pPr>
        <w:ind w:left="640" w:right="80" w:hanging="319"/>
        <w:spacing w:after="0" w:line="241"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and expectations regarding the expected benefits, timing and costs associated with our restructuring plan.</w:t>
      </w:r>
    </w:p>
    <w:p>
      <w:pPr>
        <w:spacing w:after="0" w:line="15"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2" w:lineRule="exact"/>
        <w:rPr>
          <w:rFonts w:ascii="Arial" w:cs="Arial" w:eastAsia="Arial" w:hAnsi="Arial"/>
          <w:sz w:val="21"/>
          <w:szCs w:val="21"/>
          <w:color w:val="auto"/>
        </w:rPr>
      </w:pPr>
    </w:p>
    <w:p>
      <w:pPr>
        <w:ind w:left="640" w:right="300" w:hanging="319"/>
        <w:spacing w:after="0" w:line="229"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information security issues and expanding laws.</w:t>
      </w:r>
    </w:p>
    <w:p>
      <w:pPr>
        <w:spacing w:after="0" w:line="23" w:lineRule="exact"/>
        <w:rPr>
          <w:rFonts w:ascii="Times New Roman" w:cs="Times New Roman" w:eastAsia="Times New Roman" w:hAnsi="Times New Roman"/>
          <w:sz w:val="18"/>
          <w:szCs w:val="18"/>
          <w:color w:val="auto"/>
        </w:rPr>
      </w:pPr>
    </w:p>
    <w:p>
      <w:pPr>
        <w:ind w:left="640" w:right="180" w:hanging="319"/>
        <w:spacing w:after="0" w:line="241"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6" w:lineRule="exact"/>
        <w:rPr>
          <w:rFonts w:ascii="Arial" w:cs="Arial" w:eastAsia="Arial" w:hAnsi="Arial"/>
          <w:sz w:val="21"/>
          <w:szCs w:val="21"/>
          <w:color w:val="auto"/>
        </w:rPr>
      </w:pPr>
    </w:p>
    <w:p>
      <w:pPr>
        <w:ind w:left="640" w:right="200" w:hanging="319"/>
        <w:spacing w:after="0" w:line="237"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40" w:lineRule="exact"/>
        <w:rPr>
          <w:sz w:val="20"/>
          <w:szCs w:val="20"/>
          <w:color w:val="auto"/>
        </w:rPr>
      </w:pPr>
    </w:p>
    <w:p>
      <w:pPr>
        <w:ind w:right="62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9" w:right="439" w:bottom="1440" w:gutter="0" w:footer="0" w:header="0"/>
        </w:sectPr>
      </w:pPr>
    </w:p>
    <w:bookmarkStart w:id="54" w:name="page55"/>
    <w:bookmarkEnd w:id="54"/>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192"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9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42"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5" w:name="page56"/>
    <w:bookmarkEnd w:id="55"/>
    <w:p>
      <w:pPr>
        <w:ind w:right="60"/>
        <w:spacing w:after="0" w:line="268" w:lineRule="auto"/>
        <w:rPr>
          <w:sz w:val="20"/>
          <w:szCs w:val="20"/>
          <w:color w:val="auto"/>
        </w:rPr>
      </w:pPr>
      <w:r>
        <w:rPr>
          <w:rFonts w:ascii="Times New Roman" w:cs="Times New Roman" w:eastAsia="Times New Roman" w:hAnsi="Times New Roman"/>
          <w:sz w:val="18"/>
          <w:szCs w:val="18"/>
          <w:color w:val="auto"/>
        </w:rPr>
        <w:t>spending cuts impede the ability of governments to purchase our products and services, our revenue could decline. In addition, a number of our customers rely, directly and indirectly, on government spending.</w:t>
      </w:r>
    </w:p>
    <w:p>
      <w:pPr>
        <w:spacing w:after="0" w:line="196"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2025.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38" w:lineRule="exact"/>
        <w:rPr>
          <w:sz w:val="20"/>
          <w:szCs w:val="20"/>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00" w:hanging="319"/>
        <w:spacing w:after="0" w:line="241"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 w:lineRule="exact"/>
        <w:rPr>
          <w:rFonts w:ascii="Arial" w:cs="Arial" w:eastAsia="Arial" w:hAnsi="Arial"/>
          <w:sz w:val="21"/>
          <w:szCs w:val="21"/>
          <w:color w:val="auto"/>
        </w:rPr>
      </w:pPr>
    </w:p>
    <w:p>
      <w:pPr>
        <w:ind w:left="640" w:right="100" w:hanging="319"/>
        <w:spacing w:after="0" w:line="243"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w:t>
      </w:r>
    </w:p>
    <w:p>
      <w:pPr>
        <w:spacing w:after="0" w:line="22" w:lineRule="exact"/>
        <w:rPr>
          <w:rFonts w:ascii="Times New Roman" w:cs="Times New Roman" w:eastAsia="Times New Roman" w:hAnsi="Times New Roman"/>
          <w:sz w:val="18"/>
          <w:szCs w:val="18"/>
          <w:color w:val="auto"/>
        </w:rPr>
      </w:pPr>
    </w:p>
    <w:p>
      <w:pPr>
        <w:ind w:left="640" w:right="260" w:hanging="319"/>
        <w:spacing w:after="0" w:line="234"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1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1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9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International net revenue represented 64% of our net revenue during both the six months ended July 31, 2025 and 2024. Our international revenue, some of which comes from emerging economies, is subject to economic and political conditions in foreign markets, including those resulting from economic and political conditions in the United States. Our total revenue is also</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6" w:name="page57"/>
    <w:bookmarkEnd w:id="56"/>
    <w:p>
      <w:pPr>
        <w:ind w:right="40"/>
        <w:spacing w:after="0" w:line="332" w:lineRule="auto"/>
        <w:rPr>
          <w:sz w:val="20"/>
          <w:szCs w:val="20"/>
          <w:color w:val="auto"/>
        </w:rPr>
      </w:pPr>
      <w:r>
        <w:rPr>
          <w:rFonts w:ascii="Times New Roman" w:cs="Times New Roman" w:eastAsia="Times New Roman" w:hAnsi="Times New Roman"/>
          <w:sz w:val="16"/>
          <w:szCs w:val="16"/>
          <w:color w:val="auto"/>
        </w:rPr>
        <w:t>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149" w:lineRule="exact"/>
        <w:rPr>
          <w:sz w:val="20"/>
          <w:szCs w:val="20"/>
          <w:color w:val="auto"/>
        </w:rPr>
      </w:pPr>
    </w:p>
    <w:p>
      <w:pPr>
        <w:jc w:val="both"/>
        <w:ind w:right="20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ind w:left="640" w:right="200" w:hanging="319"/>
        <w:spacing w:after="0" w:line="235" w:lineRule="auto"/>
        <w:tabs>
          <w:tab w:leader="none" w:pos="6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 geopolitical conflicts, and any political or economic responses and counter-responses thereto by various global actors;</w:t>
      </w:r>
    </w:p>
    <w:p>
      <w:pPr>
        <w:spacing w:after="0" w:line="2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5"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right="460" w:hanging="319"/>
        <w:spacing w:after="0" w:line="289" w:lineRule="auto"/>
        <w:tabs>
          <w:tab w:leader="none" w:pos="63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beyond our control, including popular uprisings, terrorism, war (including any related political or economic responses and counter-responses or otherwise by various global actors or the general effect on the global economy), natural disasters, and diseases and pandemics.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 w:lineRule="exact"/>
        <w:rPr>
          <w:sz w:val="20"/>
          <w:szCs w:val="20"/>
          <w:color w:val="auto"/>
        </w:rPr>
      </w:pPr>
    </w:p>
    <w:p>
      <w:pPr>
        <w:ind w:firstLine="395"/>
        <w:spacing w:after="0" w:line="244"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imposed sanctions as a result of the war against Ukraine launched by Russia and the ongoing war between Israel and Hamas.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as a component of U.S. foreign policy. Since March 2025, the United States has placed an additional 20% tariff on most goods from China, imposed an additional 25% tariff on most products of Canada and Mexico (with an exception for goods that qualify for duty-free treatment under the U.S.-Mexico-Canada Agreement), and implemented 25% Section 232 tariffs on various articles of steel and aluminum. In April 2025, the U.S. government implemented 25% Section 232 tariffs on passenger vehicles and light trucks (with similar Section 232 tariffs on components for such vehicles expected to be imposed beginning in May 2025); imposed an additional reciprocal tariff of 125% on most imports from China; and imposed an additional reciprocal tariff of 10% on most imports from U.S. trading partners other than China, Canada, Mexico, and countries with which the U.S. does not have normal trade relations. Additional investigations by the U.S. government are in progress and could result in the imposition of additional tariffs on additional items.</w:t>
      </w:r>
    </w:p>
    <w:p>
      <w:pPr>
        <w:spacing w:after="0" w:line="221"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its trading partners with respect to trade policies, tariffs, taxes, and similar policies affecting cross-border operations. These new or increased</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7" w:name="page58"/>
    <w:bookmarkEnd w:id="57"/>
    <w:p>
      <w:pPr>
        <w:ind w:right="20"/>
        <w:spacing w:after="0" w:line="249" w:lineRule="auto"/>
        <w:rPr>
          <w:sz w:val="20"/>
          <w:szCs w:val="20"/>
          <w:color w:val="auto"/>
        </w:rPr>
      </w:pPr>
      <w:r>
        <w:rPr>
          <w:rFonts w:ascii="Times New Roman" w:cs="Times New Roman" w:eastAsia="Times New Roman" w:hAnsi="Times New Roman"/>
          <w:sz w:val="18"/>
          <w:szCs w:val="18"/>
          <w:color w:val="auto"/>
        </w:rPr>
        <w:t>tariffs and other changes in U.S. trade policy, including new sanctions,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announcing sanctions, a change in tariff structures, export controls, or other trade policies, may increase the cost of, or otherwise interfere with, the conduct of our business, and could have a material adverse effect on our operations and business outlook.</w:t>
      </w:r>
    </w:p>
    <w:p>
      <w:pPr>
        <w:spacing w:after="0" w:line="198" w:lineRule="exact"/>
        <w:rPr>
          <w:sz w:val="20"/>
          <w:szCs w:val="20"/>
          <w:color w:val="auto"/>
        </w:rPr>
      </w:pPr>
    </w:p>
    <w:p>
      <w:pPr>
        <w:ind w:right="180" w:firstLine="474"/>
        <w:spacing w:after="0" w:line="253"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4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9" w:lineRule="exact"/>
        <w:rPr>
          <w:sz w:val="20"/>
          <w:szCs w:val="20"/>
          <w:color w:val="auto"/>
        </w:rPr>
      </w:pPr>
    </w:p>
    <w:p>
      <w:pPr>
        <w:ind w:right="80" w:firstLine="395"/>
        <w:spacing w:after="0" w:line="230"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spacing w:after="0" w:line="2" w:lineRule="exact"/>
        <w:rPr>
          <w:sz w:val="20"/>
          <w:szCs w:val="20"/>
          <w:color w:val="auto"/>
        </w:rPr>
      </w:pPr>
    </w:p>
    <w:p>
      <w:pPr>
        <w:ind w:left="640" w:right="300" w:hanging="319"/>
        <w:spacing w:after="0" w:line="235" w:lineRule="auto"/>
        <w:tabs>
          <w:tab w:leader="none" w:pos="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other countries, as well as economic and regulatory uncertainty;</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21" w:lineRule="exact"/>
        <w:rPr>
          <w:rFonts w:ascii="Arial" w:cs="Arial" w:eastAsia="Arial" w:hAnsi="Arial"/>
          <w:sz w:val="21"/>
          <w:szCs w:val="21"/>
          <w:color w:val="auto"/>
        </w:rPr>
      </w:pPr>
    </w:p>
    <w:p>
      <w:pPr>
        <w:ind w:left="640" w:right="520" w:hanging="319"/>
        <w:spacing w:after="0" w:line="236" w:lineRule="auto"/>
        <w:tabs>
          <w:tab w:leader="none" w:pos="63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ind w:left="640" w:right="80" w:hanging="319"/>
        <w:spacing w:after="0" w:line="235" w:lineRule="auto"/>
        <w:tabs>
          <w:tab w:leader="none" w:pos="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and 2025 and which is expected to continue into fiscal year 2026;</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7"/>
          <w:szCs w:val="17"/>
          <w:color w:val="auto"/>
        </w:rPr>
        <w:t>weak or negative growth in one or more of the industries we serve, including AECO, manufacturing, and digital media and entertainment markets;</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2" w:lineRule="exact"/>
        <w:rPr>
          <w:rFonts w:ascii="Arial" w:cs="Arial" w:eastAsia="Arial" w:hAnsi="Arial"/>
          <w:sz w:val="21"/>
          <w:szCs w:val="21"/>
          <w:color w:val="auto"/>
        </w:rPr>
      </w:pPr>
    </w:p>
    <w:p>
      <w:pPr>
        <w:ind w:left="640" w:right="320" w:hanging="319"/>
        <w:spacing w:after="0" w:line="234" w:lineRule="auto"/>
        <w:tabs>
          <w:tab w:leader="none" w:pos="63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33"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7"/>
          <w:szCs w:val="17"/>
          <w:color w:val="auto"/>
        </w:rPr>
        <w:t>the ability of governments around the world to adopt fiscal policies, meet their financial and debt obligations, and finance infrastructure projects;</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2" w:lineRule="exact"/>
        <w:rPr>
          <w:rFonts w:ascii="Arial" w:cs="Arial" w:eastAsia="Arial" w:hAnsi="Arial"/>
          <w:sz w:val="21"/>
          <w:szCs w:val="21"/>
          <w:color w:val="auto"/>
        </w:rPr>
      </w:pPr>
    </w:p>
    <w:p>
      <w:pPr>
        <w:ind w:left="640" w:right="100" w:hanging="319"/>
        <w:spacing w:after="0" w:line="234" w:lineRule="auto"/>
        <w:tabs>
          <w:tab w:leader="none" w:pos="63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07"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spacing w:after="0" w:line="219"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884" w:right="519" w:bottom="1440" w:gutter="0" w:footer="0" w:header="0"/>
        </w:sectPr>
      </w:pPr>
    </w:p>
    <w:bookmarkStart w:id="59" w:name="page60"/>
    <w:bookmarkEnd w:id="59"/>
    <w:p>
      <w:pPr>
        <w:ind w:right="14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2025 and 2024, combined revenue from our AutoCAD and AutoCAD LT family products, not including collections having AutoCAD or AutoCAD LT as a component, represented 25% and 26% of our total net revenue, respectively.</w:t>
      </w:r>
    </w:p>
    <w:p>
      <w:pPr>
        <w:spacing w:after="0" w:line="210"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92"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We may not successfully execute or achieve the expected benefits of our restructuring plan and other measures we may take in the future, and our efforts may adversely affect our business.</w:t>
      </w:r>
    </w:p>
    <w:p>
      <w:pPr>
        <w:spacing w:after="0" w:line="1" w:lineRule="exact"/>
        <w:rPr>
          <w:sz w:val="20"/>
          <w:szCs w:val="20"/>
          <w:color w:val="auto"/>
        </w:rPr>
      </w:pPr>
    </w:p>
    <w:p>
      <w:pPr>
        <w:ind w:right="200" w:firstLine="395"/>
        <w:spacing w:after="0" w:line="279" w:lineRule="auto"/>
        <w:rPr>
          <w:sz w:val="20"/>
          <w:szCs w:val="20"/>
          <w:color w:val="auto"/>
        </w:rPr>
      </w:pPr>
      <w:r>
        <w:rPr>
          <w:rFonts w:ascii="Times New Roman" w:cs="Times New Roman" w:eastAsia="Times New Roman" w:hAnsi="Times New Roman"/>
          <w:sz w:val="16"/>
          <w:szCs w:val="16"/>
          <w:color w:val="auto"/>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52" w:lineRule="exact"/>
        <w:rPr>
          <w:sz w:val="20"/>
          <w:szCs w:val="20"/>
          <w:color w:val="auto"/>
        </w:rPr>
      </w:pPr>
    </w:p>
    <w:p>
      <w:pPr>
        <w:ind w:right="240" w:firstLine="395"/>
        <w:spacing w:after="0"/>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spacing w:after="0" w:line="24" w:lineRule="exact"/>
        <w:rPr>
          <w:sz w:val="20"/>
          <w:szCs w:val="20"/>
          <w:color w:val="auto"/>
        </w:rPr>
      </w:pPr>
    </w:p>
    <w:p>
      <w:pPr>
        <w:ind w:left="640" w:right="20" w:hanging="319"/>
        <w:spacing w:after="0" w:line="237"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2" w:lineRule="exact"/>
        <w:rPr>
          <w:rFonts w:ascii="Arial" w:cs="Arial" w:eastAsia="Arial" w:hAnsi="Arial"/>
          <w:sz w:val="21"/>
          <w:szCs w:val="21"/>
          <w:color w:val="auto"/>
        </w:rPr>
      </w:pPr>
    </w:p>
    <w:p>
      <w:pPr>
        <w:ind w:left="640" w:hanging="319"/>
        <w:spacing w:after="0" w:line="237" w:lineRule="auto"/>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ind w:left="640" w:hanging="319"/>
        <w:spacing w:after="0" w:line="235" w:lineRule="auto"/>
        <w:tabs>
          <w:tab w:leader="none" w:pos="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 including from an economic downturn or recession in the United States or in other countries, as well as economic and regulatory uncertainty;</w:t>
      </w:r>
    </w:p>
    <w:p>
      <w:pPr>
        <w:spacing w:after="0" w:line="22" w:lineRule="exact"/>
        <w:rPr>
          <w:rFonts w:ascii="Times New Roman" w:cs="Times New Roman" w:eastAsia="Times New Roman" w:hAnsi="Times New Roman"/>
          <w:sz w:val="18"/>
          <w:szCs w:val="18"/>
          <w:color w:val="auto"/>
        </w:rPr>
      </w:pPr>
    </w:p>
    <w:p>
      <w:pPr>
        <w:ind w:left="640" w:right="20" w:hanging="319"/>
        <w:spacing w:after="0" w:line="234"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60" w:name="page61"/>
    <w:bookmarkEnd w:id="60"/>
    <w:p>
      <w:pPr>
        <w:ind w:left="640" w:hanging="319"/>
        <w:spacing w:after="0"/>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 or others, and our response to such actions; and</w:t>
      </w:r>
    </w:p>
    <w:p>
      <w:pPr>
        <w:spacing w:after="0" w:line="23" w:lineRule="exact"/>
        <w:rPr>
          <w:rFonts w:ascii="Times New Roman" w:cs="Times New Roman" w:eastAsia="Times New Roman" w:hAnsi="Times New Roman"/>
          <w:sz w:val="18"/>
          <w:szCs w:val="18"/>
          <w:color w:val="auto"/>
        </w:rPr>
      </w:pPr>
    </w:p>
    <w:p>
      <w:pPr>
        <w:ind w:left="640" w:right="160" w:hanging="319"/>
        <w:spacing w:after="0" w:line="244" w:lineRule="auto"/>
        <w:tabs>
          <w:tab w:leader="none" w:pos="635"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15"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19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or other aspects of the development or use of AI may also increase the burden and cost of research and development in this area, subjecting us to brand or reputational harm, competitive harm, or legal liability. For example, the European Union’s Artificial Intelligence Act (the “AI Act”), which achieved approval by the European Council on February 2, 2024, and the European Parliament on March 13, 2024, will impose obligations on providers and users of artificial intelligence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The Audit Committee internal investigation has been time-consuming and expensive, has resulted in the filing of lawsuits, and may result in additional expense and/or litigation.</w:t>
      </w:r>
    </w:p>
    <w:p>
      <w:pPr>
        <w:spacing w:after="0" w:line="192" w:lineRule="exact"/>
        <w:rPr>
          <w:sz w:val="20"/>
          <w:szCs w:val="20"/>
          <w:color w:val="auto"/>
        </w:rPr>
      </w:pPr>
    </w:p>
    <w:p>
      <w:pPr>
        <w:ind w:right="120" w:firstLine="395"/>
        <w:spacing w:after="0" w:line="332" w:lineRule="auto"/>
        <w:rPr>
          <w:sz w:val="20"/>
          <w:szCs w:val="20"/>
          <w:color w:val="auto"/>
        </w:rPr>
      </w:pPr>
      <w:r>
        <w:rPr>
          <w:rFonts w:ascii="Times New Roman" w:cs="Times New Roman" w:eastAsia="Times New Roman" w:hAnsi="Times New Roman"/>
          <w:sz w:val="16"/>
          <w:szCs w:val="16"/>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1" w:name="page62"/>
    <w:bookmarkEnd w:id="61"/>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210"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color w:val="auto"/>
        </w:rPr>
        <w:t>Autodesk voluntarily contacted the Securities and Exchange Commission (the “SEC”) to advise it that an internal investigation was ongoing. In addition, the United States Attorney’s Office for the Northern District of California contacted us regarding the Audit Committee investigation. We cooperated with the SEC and USAO, including by providing certain documents and information. On August 19, 2025, the SEC notified us that it was closing its matter. On August 21, 2025, the USAO notified us that it was closing its matter as well.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 We can provide no assurances as to the outcome of any governmental investigation.</w:t>
      </w:r>
    </w:p>
    <w:p>
      <w:pPr>
        <w:spacing w:after="0" w:line="187" w:lineRule="exact"/>
        <w:rPr>
          <w:sz w:val="20"/>
          <w:szCs w:val="20"/>
          <w:color w:val="auto"/>
        </w:rPr>
      </w:pPr>
    </w:p>
    <w:p>
      <w:pPr>
        <w:ind w:right="260" w:firstLine="395"/>
        <w:spacing w:after="0" w:line="239" w:lineRule="auto"/>
        <w:rPr>
          <w:sz w:val="20"/>
          <w:szCs w:val="20"/>
          <w:color w:val="auto"/>
        </w:rPr>
      </w:pPr>
      <w:r>
        <w:rPr>
          <w:rFonts w:ascii="Times New Roman" w:cs="Times New Roman" w:eastAsia="Times New Roman" w:hAnsi="Times New Roman"/>
          <w:sz w:val="18"/>
          <w:szCs w:val="18"/>
          <w:color w:val="auto"/>
        </w:rPr>
        <w:t>In addition, we and certain of our officers and directors have been named in purported shareholder litigation arising out of our announcement of the investigation. For additional discussion, see Part I, Item 3. Legal Proceedings and Note 11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19" w:lineRule="exact"/>
        <w:rPr>
          <w:sz w:val="20"/>
          <w:szCs w:val="20"/>
          <w:color w:val="auto"/>
        </w:rPr>
      </w:pPr>
    </w:p>
    <w:p>
      <w:pPr>
        <w:ind w:right="160" w:firstLine="395"/>
        <w:spacing w:after="0" w:line="289" w:lineRule="auto"/>
        <w:rPr>
          <w:sz w:val="20"/>
          <w:szCs w:val="20"/>
          <w:color w:val="auto"/>
        </w:rPr>
      </w:pPr>
      <w:r>
        <w:rPr>
          <w:rFonts w:ascii="Times New Roman" w:cs="Times New Roman" w:eastAsia="Times New Roman" w:hAnsi="Times New Roman"/>
          <w:sz w:val="16"/>
          <w:szCs w:val="16"/>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92" w:lineRule="exact"/>
        <w:rPr>
          <w:sz w:val="20"/>
          <w:szCs w:val="20"/>
          <w:color w:val="auto"/>
        </w:rPr>
      </w:pPr>
    </w:p>
    <w:p>
      <w:pPr>
        <w:ind w:firstLine="434"/>
        <w:spacing w:after="0" w:line="282" w:lineRule="auto"/>
        <w:rPr>
          <w:sz w:val="20"/>
          <w:szCs w:val="20"/>
          <w:color w:val="auto"/>
        </w:rPr>
      </w:pPr>
      <w:r>
        <w:rPr>
          <w:rFonts w:ascii="Times New Roman" w:cs="Times New Roman" w:eastAsia="Times New Roman" w:hAnsi="Times New Roman"/>
          <w:sz w:val="16"/>
          <w:szCs w:val="16"/>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w:t>
      </w:r>
    </w:p>
    <w:p>
      <w:pPr>
        <w:spacing w:after="0" w:line="192" w:lineRule="exact"/>
        <w:rPr>
          <w:sz w:val="20"/>
          <w:szCs w:val="20"/>
          <w:color w:val="auto"/>
        </w:rPr>
      </w:pPr>
    </w:p>
    <w:p>
      <w:pPr>
        <w:ind w:right="80" w:firstLine="434"/>
        <w:spacing w:after="0" w:line="282" w:lineRule="auto"/>
        <w:rPr>
          <w:sz w:val="20"/>
          <w:szCs w:val="20"/>
          <w:color w:val="auto"/>
        </w:rPr>
      </w:pPr>
      <w:r>
        <w:rPr>
          <w:rFonts w:ascii="Times New Roman" w:cs="Times New Roman" w:eastAsia="Times New Roman" w:hAnsi="Times New Roman"/>
          <w:sz w:val="16"/>
          <w:szCs w:val="16"/>
          <w:color w:val="auto"/>
        </w:rPr>
        <w:t>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62" w:name="page63"/>
    <w:bookmarkEnd w:id="62"/>
    <w:p>
      <w:pPr>
        <w:ind w:right="20"/>
        <w:spacing w:after="0" w:line="280" w:lineRule="auto"/>
        <w:rPr>
          <w:sz w:val="20"/>
          <w:szCs w:val="20"/>
          <w:color w:val="auto"/>
        </w:rPr>
      </w:pPr>
      <w:r>
        <w:rPr>
          <w:rFonts w:ascii="Times New Roman" w:cs="Times New Roman" w:eastAsia="Times New Roman" w:hAnsi="Times New Roman"/>
          <w:sz w:val="16"/>
          <w:szCs w:val="16"/>
          <w:color w:val="auto"/>
        </w:rPr>
        <w:t>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between Israel and Hamas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Our use of AI may also increase our risks of being subject to a security breach or incident.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00" w:lineRule="exact"/>
        <w:rPr>
          <w:sz w:val="20"/>
          <w:szCs w:val="20"/>
          <w:color w:val="auto"/>
        </w:rPr>
      </w:pPr>
    </w:p>
    <w:p>
      <w:pPr>
        <w:spacing w:after="0" w:line="202" w:lineRule="exact"/>
        <w:rPr>
          <w:sz w:val="20"/>
          <w:szCs w:val="20"/>
          <w:color w:val="auto"/>
        </w:rPr>
      </w:pPr>
    </w:p>
    <w:p>
      <w:pPr>
        <w:ind w:right="120" w:firstLine="434"/>
        <w:spacing w:after="0" w:line="246"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1" w:lineRule="exact"/>
        <w:rPr>
          <w:sz w:val="20"/>
          <w:szCs w:val="20"/>
          <w:color w:val="auto"/>
        </w:rPr>
      </w:pPr>
    </w:p>
    <w:p>
      <w:pPr>
        <w:ind w:right="240" w:firstLine="434"/>
        <w:spacing w:after="0" w:line="286" w:lineRule="auto"/>
        <w:rPr>
          <w:sz w:val="20"/>
          <w:szCs w:val="20"/>
          <w:color w:val="auto"/>
        </w:rPr>
      </w:pPr>
      <w:r>
        <w:rPr>
          <w:rFonts w:ascii="Times New Roman" w:cs="Times New Roman" w:eastAsia="Times New Roman" w:hAnsi="Times New Roman"/>
          <w:sz w:val="16"/>
          <w:szCs w:val="16"/>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2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3" w:name="page64"/>
    <w:bookmarkEnd w:id="63"/>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207" w:lineRule="exact"/>
        <w:rPr>
          <w:sz w:val="20"/>
          <w:szCs w:val="20"/>
          <w:color w:val="auto"/>
        </w:rPr>
      </w:pPr>
    </w:p>
    <w:p>
      <w:pPr>
        <w:ind w:firstLine="434"/>
        <w:spacing w:after="0" w:line="280"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200" w:lineRule="exact"/>
        <w:rPr>
          <w:sz w:val="20"/>
          <w:szCs w:val="20"/>
          <w:color w:val="auto"/>
        </w:rPr>
      </w:pP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92" w:lineRule="exact"/>
        <w:rPr>
          <w:sz w:val="20"/>
          <w:szCs w:val="20"/>
          <w:color w:val="auto"/>
        </w:rPr>
      </w:pPr>
    </w:p>
    <w:p>
      <w:pPr>
        <w:ind w:right="140" w:firstLine="434"/>
        <w:spacing w:after="0" w:line="250"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210" w:lineRule="exact"/>
        <w:rPr>
          <w:sz w:val="20"/>
          <w:szCs w:val="20"/>
          <w:color w:val="auto"/>
        </w:rPr>
      </w:pPr>
    </w:p>
    <w:p>
      <w:pPr>
        <w:ind w:right="20"/>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5"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92"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4" w:name="page65"/>
    <w:bookmarkEnd w:id="64"/>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six months ended July 31, 2025 and 2024, approximately 42% and 61%, respectively, of our revenue was derived from indirect channel sales primarily through distributors and resellers.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7"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Of our distributors, TD Synnex accounted for 18% and 37% of our total net revenue for the six months ended July 31, 2025 and 2024, respectively. In connection with our new transaction model, we entered into agreements to provide transition distribution activities with certain distributors and entered into a new distribution agreement with TD Synnex for government business in certain jurisdictions. In connection with such transition agreements, we intend to increase our selling efforts with resellers and agents. During the transition period, we believe the resellers and end users who currently purchase our products through TD Synnex will be able to continue to do so, and following the transition period, we believe such end users will be able to continue to purchase our products from certain resellers or directly from Autodesk, in each case under substantially the same terms and without substantial disruption to our revenue. However, if during the transition period, TD Synnex was to experience a significant business disruption or if our relationship with either were to significantly deteriorate, it is possible that our ability to sell to end users would, at least temporarily, be negatively impacted. Also, if any of our assumptions about our end users, resellers, distributors, or agents or our direct selling capabilities proves incorrect, these changes could harm our business. This could, in turn, negatively impact our financial results.</w:t>
      </w:r>
    </w:p>
    <w:p>
      <w:pPr>
        <w:spacing w:after="0" w:line="200" w:lineRule="exact"/>
        <w:rPr>
          <w:sz w:val="20"/>
          <w:szCs w:val="20"/>
          <w:color w:val="auto"/>
        </w:rPr>
      </w:pPr>
    </w:p>
    <w:p>
      <w:pPr>
        <w:spacing w:after="0" w:line="20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42"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8" w:right="379" w:bottom="1440" w:gutter="0" w:footer="0" w:header="0"/>
        </w:sectPr>
      </w:pPr>
    </w:p>
    <w:bookmarkStart w:id="65" w:name="page66"/>
    <w:bookmarkEnd w:id="65"/>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92"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6" w:name="page67"/>
    <w:bookmarkEnd w:id="66"/>
    <w:p>
      <w:pPr>
        <w:ind w:right="60"/>
        <w:spacing w:after="0" w:line="247" w:lineRule="auto"/>
        <w:rPr>
          <w:sz w:val="20"/>
          <w:szCs w:val="20"/>
          <w:color w:val="auto"/>
        </w:rPr>
      </w:pPr>
      <w:r>
        <w:rPr>
          <w:rFonts w:ascii="Times New Roman" w:cs="Times New Roman" w:eastAsia="Times New Roman" w:hAnsi="Times New Roman"/>
          <w:sz w:val="18"/>
          <w:szCs w:val="18"/>
          <w:color w:val="auto"/>
        </w:rPr>
        <w:t>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there is continued instability of international personal data transfer legal mechanisms that are complex, uncertain, and subject to active</w:t>
      </w:r>
    </w:p>
    <w:p>
      <w:pPr>
        <w:spacing w:after="0" w:line="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litigation and enforcement actions in a number of jurisdictions around the world. For example, on June 4, 2021, the European Commission published a new set of modular standard contractual clause (“SCCs”), which became effective on June 29, 2021. The SCCs impose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 or other regions.</w:t>
      </w:r>
    </w:p>
    <w:p>
      <w:pPr>
        <w:spacing w:after="0" w:line="212"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In addition, the United Kingdom’s (“UK”) exit from the EU, and ongoing developments in the UK, have created uncertainty with regard to data protection regulation in the UK. Personal data processing in the UK is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requires renewal, and may be revoked or not renewed if the UK diverges from its current adequate data protection laws following its exit from the EU. The UK has proposed legislation that would modify its data protection regime in manners that deviate from the GDPR, and the European Commission has proposed extending its adequacy renewal decision for the UK’s data protection regime until December 27, 2025, in order to assess any modified data protection regime that the UK may enact. On February 2, 2022, the UK’s Information Commissioner’s Office issued new standard contractual clauses to support personal data transfers out of the UK (“UK SCCs”), which became effective March 21, 2022.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make use of to legitimize personal data transfers to the U.S. from the European Economic Area,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from privacy advocacy groups or others. Further, the European Commission’s adequacy decision regarding the EU-U.S. DPF provides that the EU-U.S. DPF will be subject to future reviews and may be subject to suspension, amendment, repeal, or limitations to its scope by the European Commission. We may, in addition to other impacts, experience additional costs associated with increased compliance burdens and be required to engage in new contract negotiations with third parties that aid in processing personal data on our behalf or localize certain personal data.</w:t>
      </w:r>
    </w:p>
    <w:p>
      <w:pPr>
        <w:spacing w:after="0" w:line="22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Further, several European data protection authorities have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210"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Several other countries, including China, Australia, New Zealand, Brazil, and Japan, have also established specific legal requirements for cross-border data transfers. There is also an increasing trend towards data localization policies. For example, China and India have introduced localization requirements for certain data. Other countries also are considering data localization requirements. If this trend continues, and countries implement more restrictive regulations for cross-border personal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7" w:name="page68"/>
    <w:bookmarkEnd w:id="67"/>
    <w:p>
      <w:pPr>
        <w:ind w:right="260"/>
        <w:spacing w:after="0" w:line="256" w:lineRule="auto"/>
        <w:rPr>
          <w:sz w:val="20"/>
          <w:szCs w:val="20"/>
          <w:color w:val="auto"/>
        </w:rPr>
      </w:pPr>
      <w:r>
        <w:rPr>
          <w:rFonts w:ascii="Times New Roman" w:cs="Times New Roman" w:eastAsia="Times New Roman" w:hAnsi="Times New Roman"/>
          <w:sz w:val="18"/>
          <w:szCs w:val="18"/>
          <w:color w:val="auto"/>
        </w:rPr>
        <w:t>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206"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In addition, the CPRA and many other new state laws addressing privacy and information security, including those that have become or will become effective in 2025, provide for additional obligations such as data minimization and storage limitations, granting additional rights to consumers such as correction of personal information and additional opt-out rights. The CPRA also created a new agency to implement and enforce the law. These new state laws 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217"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In the EU and the UK, regulators are increasingly focusing on compliance with requirements in the online behavioral advertising ecosystem.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 The EU also has proposed, and in certain cases enacted, numerous regulations and directives addressing cybersecurity.</w:t>
      </w:r>
    </w:p>
    <w:p>
      <w:pPr>
        <w:spacing w:after="0" w:line="213" w:lineRule="exact"/>
        <w:rPr>
          <w:sz w:val="20"/>
          <w:szCs w:val="20"/>
          <w:color w:val="auto"/>
        </w:rPr>
      </w:pPr>
    </w:p>
    <w:p>
      <w:pPr>
        <w:ind w:right="40" w:firstLine="395"/>
        <w:spacing w:after="0" w:line="280" w:lineRule="auto"/>
        <w:rPr>
          <w:sz w:val="20"/>
          <w:szCs w:val="20"/>
          <w:color w:val="auto"/>
        </w:rPr>
      </w:pPr>
      <w:r>
        <w:rPr>
          <w:rFonts w:ascii="Times New Roman" w:cs="Times New Roman" w:eastAsia="Times New Roman" w:hAnsi="Times New Roman"/>
          <w:sz w:val="16"/>
          <w:szCs w:val="16"/>
          <w:color w:val="auto"/>
        </w:rPr>
        <w:t>Governments, regulators, plaintiffs’ attorneys, and privacy advocates have increased their focus on how companies collect, use, store, share, transmit, and otherwise process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and cybersecurity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4"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offerings are subject to export controls and economic sanctions laws and regulations that prohibit the delivery of certain solutions and services or the</w:t>
      </w:r>
    </w:p>
    <w:p>
      <w:pPr>
        <w:spacing w:after="0" w:line="5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export to locations, governments, and persons targeted by applicable sanctions without the required export authorizations.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controls and sanctions laws and regulations.</w:t>
      </w:r>
    </w:p>
    <w:p>
      <w:pPr>
        <w:spacing w:after="0" w:line="222"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or loss of sales opportunities. Violations of applicable sanctions or export control laws or regulations can result in fines or penalties.</w:t>
      </w:r>
    </w:p>
    <w:p>
      <w:pPr>
        <w:spacing w:after="0" w:line="227"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2"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86" w:lineRule="auto"/>
        <w:rPr>
          <w:sz w:val="20"/>
          <w:szCs w:val="20"/>
          <w:color w:val="auto"/>
        </w:rPr>
      </w:pPr>
      <w:r>
        <w:rPr>
          <w:rFonts w:ascii="Times New Roman" w:cs="Times New Roman" w:eastAsia="Times New Roman" w:hAnsi="Times New Roman"/>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9" w:name="page70"/>
    <w:bookmarkEnd w:id="69"/>
    <w:p>
      <w:pPr>
        <w:ind w:right="240"/>
        <w:spacing w:after="0" w:line="268" w:lineRule="auto"/>
        <w:rPr>
          <w:sz w:val="20"/>
          <w:szCs w:val="20"/>
          <w:color w:val="auto"/>
        </w:rPr>
      </w:pPr>
      <w:r>
        <w:rPr>
          <w:rFonts w:ascii="Times New Roman" w:cs="Times New Roman" w:eastAsia="Times New Roman" w:hAnsi="Times New Roman"/>
          <w:sz w:val="18"/>
          <w:szCs w:val="18"/>
          <w:color w:val="auto"/>
        </w:rPr>
        <w:t>governmental sector until we have attained the full or revised certification. Governmental entities may also have statutory, contractual or other legal rights to terminate contracts with us or our partners for convenience or for other reasons.</w:t>
      </w:r>
    </w:p>
    <w:p>
      <w:pPr>
        <w:spacing w:after="0" w:line="196"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7" w:lineRule="exact"/>
        <w:rPr>
          <w:sz w:val="20"/>
          <w:szCs w:val="20"/>
          <w:color w:val="auto"/>
        </w:rPr>
      </w:pPr>
    </w:p>
    <w:p>
      <w:pPr>
        <w:ind w:right="240" w:firstLine="395"/>
        <w:spacing w:after="0" w:line="237" w:lineRule="auto"/>
        <w:rPr>
          <w:sz w:val="20"/>
          <w:szCs w:val="20"/>
          <w:color w:val="auto"/>
        </w:rPr>
      </w:pPr>
      <w:r>
        <w:rPr>
          <w:rFonts w:ascii="Times New Roman" w:cs="Times New Roman" w:eastAsia="Times New Roman" w:hAnsi="Times New Roman"/>
          <w:sz w:val="18"/>
          <w:szCs w:val="18"/>
          <w:color w:val="auto"/>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9" w:lineRule="exact"/>
        <w:rPr>
          <w:sz w:val="20"/>
          <w:szCs w:val="20"/>
          <w:color w:val="auto"/>
        </w:rPr>
      </w:pPr>
    </w:p>
    <w:p>
      <w:pPr>
        <w:ind w:right="140" w:firstLine="395"/>
        <w:spacing w:after="0" w:line="232" w:lineRule="auto"/>
        <w:rPr>
          <w:sz w:val="20"/>
          <w:szCs w:val="20"/>
          <w:color w:val="auto"/>
        </w:rPr>
      </w:pPr>
      <w:r>
        <w:rPr>
          <w:rFonts w:ascii="Times New Roman" w:cs="Times New Roman" w:eastAsia="Times New Roman" w:hAnsi="Times New Roman"/>
          <w:sz w:val="18"/>
          <w:szCs w:val="18"/>
          <w:color w:val="auto"/>
        </w:rPr>
        <w:t>We have $2.50 billion of principal debt, consisting of notes due at various times from June 2027 to June 2035, as of July 31, 2025, as described in Part I, Item 1. In May 2025, we also entered into the 2025 Credit Agreement, which provides for an unsecured revolving loan facility in the aggregate principal amount of $1.5 billion, with an option to increase the principal amount to $2 billion subject to receipt of additional commitments and other customary conditions, as described in Part I, Item 1, “Financial Statements,” Note 13, “Borrowing Arrangements”. Maintenance of our indebtedness, contractual restrictions, and additional issuances of indebtedness could:</w:t>
      </w:r>
    </w:p>
    <w:p>
      <w:pPr>
        <w:spacing w:after="0" w:line="223" w:lineRule="exact"/>
        <w:rPr>
          <w:sz w:val="20"/>
          <w:szCs w:val="20"/>
          <w:color w:val="auto"/>
        </w:rPr>
      </w:pPr>
    </w:p>
    <w:p>
      <w:pPr>
        <w:ind w:left="640" w:hanging="319"/>
        <w:spacing w:after="0"/>
        <w:tabs>
          <w:tab w:leader="none" w:pos="64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5"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0" w:name="page71"/>
    <w:bookmarkEnd w:id="70"/>
    <w:p>
      <w:pPr>
        <w:ind w:left="640" w:right="20" w:hanging="319"/>
        <w:spacing w:after="0" w:line="237" w:lineRule="auto"/>
        <w:tabs>
          <w:tab w:leader="none" w:pos="63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2025 Credit Agreement. If we breach any of the covenants and do not obtain a waiver from the lenders, then, subject to applicable cure periods, we would not be able to incur additional indebtedness under the 2025 Credit Agreement described in Part I, Item 1, “Financial Statements,” Note 13, “Borrowing Arrangements,” and the lenders under the 2025 Credit Agreement could declare any outstanding indebtedness under the 2025 Credit Agreement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could increase. Downgrades in our credit ratings could also restrict our ability to obtain additional financing in the future and could affect the terms of any such financing.</w:t>
      </w:r>
    </w:p>
    <w:p>
      <w:pPr>
        <w:spacing w:after="0" w:line="211"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82"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w:t>
      </w:r>
    </w:p>
    <w:p>
      <w:pPr>
        <w:spacing w:after="0" w:line="212" w:lineRule="exact"/>
        <w:rPr>
          <w:sz w:val="20"/>
          <w:szCs w:val="20"/>
          <w:color w:val="auto"/>
        </w:rPr>
      </w:pPr>
    </w:p>
    <w:p>
      <w:pPr>
        <w:ind w:right="40" w:firstLine="395"/>
        <w:spacing w:after="0" w:line="291"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w:t>
      </w:r>
    </w:p>
    <w:p>
      <w:pPr>
        <w:spacing w:after="0" w:line="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ultimate effect on our results of operations, including for our prior tax years. In addition, increases in corporate tax rates, could increase our effective tax rate, cash taxes and have an adverse effect on our results from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1" w:name="page72"/>
    <w:bookmarkEnd w:id="71"/>
    <w:p>
      <w:pPr>
        <w:ind w:firstLine="395"/>
        <w:spacing w:after="0" w:line="249" w:lineRule="auto"/>
        <w:rPr>
          <w:sz w:val="20"/>
          <w:szCs w:val="20"/>
          <w:color w:val="auto"/>
        </w:rPr>
      </w:pPr>
      <w:r>
        <w:rPr>
          <w:rFonts w:ascii="Times New Roman" w:cs="Times New Roman" w:eastAsia="Times New Roman" w:hAnsi="Times New Roman"/>
          <w:sz w:val="18"/>
          <w:szCs w:val="18"/>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1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2" w:lineRule="exact"/>
        <w:rPr>
          <w:sz w:val="20"/>
          <w:szCs w:val="20"/>
          <w:color w:val="auto"/>
        </w:rPr>
      </w:pPr>
    </w:p>
    <w:p>
      <w:pPr>
        <w:ind w:right="20"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4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40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6"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2" w:name="page73"/>
    <w:bookmarkEnd w:id="72"/>
    <w:p>
      <w:pPr>
        <w:jc w:val="both"/>
        <w:ind w:right="420"/>
        <w:spacing w:after="0" w:line="256" w:lineRule="auto"/>
        <w:rPr>
          <w:sz w:val="20"/>
          <w:szCs w:val="20"/>
          <w:color w:val="auto"/>
        </w:rPr>
      </w:pPr>
      <w:r>
        <w:rPr>
          <w:rFonts w:ascii="Times New Roman" w:cs="Times New Roman" w:eastAsia="Times New Roman" w:hAnsi="Times New Roman"/>
          <w:sz w:val="18"/>
          <w:szCs w:val="18"/>
          <w:color w:val="auto"/>
        </w:rPr>
        <w:t>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1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40" w:firstLine="395"/>
        <w:spacing w:after="0" w:line="284" w:lineRule="auto"/>
        <w:rPr>
          <w:sz w:val="20"/>
          <w:szCs w:val="20"/>
          <w:color w:val="auto"/>
        </w:rPr>
      </w:pPr>
      <w:r>
        <w:rPr>
          <w:rFonts w:ascii="Times New Roman" w:cs="Times New Roman" w:eastAsia="Times New Roman" w:hAnsi="Times New Roman"/>
          <w:sz w:val="16"/>
          <w:szCs w:val="16"/>
          <w:color w:val="auto"/>
        </w:rPr>
        <w:t>We make assumptions, judgments, and estimates for a number of items, including revenue recognition for product subscriptions and enterprise business agreements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July 31, 2025.</w:t>
      </w:r>
    </w:p>
    <w:p>
      <w:pPr>
        <w:spacing w:after="0" w:line="227" w:lineRule="exact"/>
        <w:rPr>
          <w:sz w:val="20"/>
          <w:szCs w:val="20"/>
          <w:color w:val="auto"/>
        </w:rPr>
      </w:pPr>
    </w:p>
    <w:p>
      <w:pPr>
        <w:jc w:val="both"/>
        <w:ind w:right="14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100" w:firstLine="632"/>
        <w:spacing w:after="0" w:line="253" w:lineRule="auto"/>
        <w:rPr>
          <w:sz w:val="20"/>
          <w:szCs w:val="20"/>
          <w:color w:val="auto"/>
        </w:rPr>
      </w:pPr>
      <w:r>
        <w:rPr>
          <w:rFonts w:ascii="Times New Roman" w:cs="Times New Roman" w:eastAsia="Times New Roman" w:hAnsi="Times New Roman"/>
          <w:sz w:val="18"/>
          <w:szCs w:val="18"/>
          <w:color w:val="auto"/>
        </w:rPr>
        <w:t>During our last fiscal quarter ended July 31, 2025, the following officer(s), as defined in Rule 16a-1(f), adopted a “Rule 10b5-1 trading arrangement” as defined in Regulation S-K Item 408, as follows:</w:t>
      </w:r>
    </w:p>
    <w:p>
      <w:pPr>
        <w:spacing w:after="0" w:line="195" w:lineRule="exact"/>
        <w:rPr>
          <w:sz w:val="20"/>
          <w:szCs w:val="20"/>
          <w:color w:val="auto"/>
        </w:rPr>
      </w:pPr>
    </w:p>
    <w:p>
      <w:pPr>
        <w:ind w:firstLine="632"/>
        <w:spacing w:after="0" w:line="241" w:lineRule="auto"/>
        <w:rPr>
          <w:sz w:val="20"/>
          <w:szCs w:val="20"/>
          <w:color w:val="auto"/>
        </w:rPr>
      </w:pPr>
      <w:r>
        <w:rPr>
          <w:rFonts w:ascii="Times New Roman" w:cs="Times New Roman" w:eastAsia="Times New Roman" w:hAnsi="Times New Roman"/>
          <w:sz w:val="18"/>
          <w:szCs w:val="18"/>
          <w:color w:val="auto"/>
        </w:rPr>
        <w:t>On June 5, 2025, Steve Blum, our Chief Operating Officer, adopted a new Rule 10b5-1 trading arrangement providing for the sale from time to time of an aggregate of up to 22,420 shares of our common stock. The trading arrangement is intended to satisfy the affirmative defense in Rule 10b5-1(c). The duration of the trading arrangement is until December 12, 2025, or earlier if all transactions under the trading arrangement are completed.</w:t>
      </w:r>
    </w:p>
    <w:p>
      <w:pPr>
        <w:spacing w:after="0" w:line="205" w:lineRule="exact"/>
        <w:rPr>
          <w:sz w:val="20"/>
          <w:szCs w:val="20"/>
          <w:color w:val="auto"/>
        </w:rPr>
      </w:pPr>
    </w:p>
    <w:p>
      <w:pPr>
        <w:ind w:right="120" w:firstLine="632"/>
        <w:spacing w:after="0" w:line="239"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each as defined in Regulation S-K Item 408.</w:t>
      </w: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52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60" w:type="dxa"/>
            <w:vAlign w:val="bottom"/>
            <w:gridSpan w:val="3"/>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540" w:type="dxa"/>
            <w:vAlign w:val="bottom"/>
          </w:tcPr>
          <w:p>
            <w:pPr>
              <w:spacing w:after="0"/>
              <w:rPr>
                <w:sz w:val="17"/>
                <w:szCs w:val="17"/>
                <w:color w:val="auto"/>
              </w:rPr>
            </w:pPr>
          </w:p>
        </w:tc>
        <w:tc>
          <w:tcPr>
            <w:tcW w:w="5040" w:type="dxa"/>
            <w:vAlign w:val="bottom"/>
            <w:gridSpan w:val="13"/>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Sixth Supplemental Indenture, dated June 6, 2025, by and between</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gridSpan w:val="2"/>
            <w:vMerge w:val="restart"/>
          </w:tcPr>
          <w:p>
            <w:pPr>
              <w:jc w:val="center"/>
              <w:ind w:left="365"/>
              <w:spacing w:after="0"/>
              <w:rPr>
                <w:sz w:val="20"/>
                <w:szCs w:val="20"/>
                <w:color w:val="auto"/>
              </w:rPr>
            </w:pPr>
            <w:r>
              <w:rPr>
                <w:rFonts w:ascii="Times New Roman" w:cs="Times New Roman" w:eastAsia="Times New Roman" w:hAnsi="Times New Roman"/>
                <w:sz w:val="16"/>
                <w:szCs w:val="16"/>
                <w:color w:val="auto"/>
              </w:rPr>
              <w:t>000-14338</w:t>
            </w:r>
          </w:p>
        </w:tc>
        <w:tc>
          <w:tcPr>
            <w:tcW w:w="340" w:type="dxa"/>
            <w:vAlign w:val="bottom"/>
          </w:tcPr>
          <w:p>
            <w:pPr>
              <w:spacing w:after="0"/>
              <w:rPr>
                <w:sz w:val="17"/>
                <w:szCs w:val="17"/>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7"/>
                <w:szCs w:val="17"/>
                <w:color w:val="auto"/>
              </w:rPr>
            </w:pPr>
          </w:p>
        </w:tc>
        <w:tc>
          <w:tcPr>
            <w:tcW w:w="1060" w:type="dxa"/>
            <w:vAlign w:val="bottom"/>
            <w:gridSpan w:val="3"/>
            <w:vMerge w:val="restart"/>
          </w:tcPr>
          <w:p>
            <w:pPr>
              <w:jc w:val="center"/>
              <w:ind w:left="101"/>
              <w:spacing w:after="0"/>
              <w:rPr>
                <w:sz w:val="20"/>
                <w:szCs w:val="20"/>
                <w:color w:val="auto"/>
              </w:rPr>
            </w:pPr>
            <w:r>
              <w:rPr>
                <w:rFonts w:ascii="Times New Roman" w:cs="Times New Roman" w:eastAsia="Times New Roman" w:hAnsi="Times New Roman"/>
                <w:sz w:val="16"/>
                <w:szCs w:val="16"/>
                <w:color w:val="auto"/>
                <w:w w:val="98"/>
              </w:rPr>
              <w:t>June 6, 2025</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94">
              <w:r>
                <w:rPr>
                  <w:rFonts w:ascii="Times New Roman" w:cs="Times New Roman" w:eastAsia="Times New Roman" w:hAnsi="Times New Roman"/>
                  <w:sz w:val="15"/>
                  <w:szCs w:val="15"/>
                  <w:color w:val="0000FF"/>
                </w:rPr>
                <w:t>Autodesk, Inc. and U.S. Bank Trust Company, National Association</w:t>
              </w:r>
            </w:hyperlink>
          </w:p>
        </w:tc>
        <w:tc>
          <w:tcPr>
            <w:tcW w:w="8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540" w:type="dxa"/>
            <w:vAlign w:val="bottom"/>
          </w:tcPr>
          <w:p>
            <w:pPr>
              <w:spacing w:after="0"/>
              <w:rPr>
                <w:sz w:val="24"/>
                <w:szCs w:val="24"/>
                <w:color w:val="auto"/>
              </w:rPr>
            </w:pPr>
          </w:p>
        </w:tc>
        <w:tc>
          <w:tcPr>
            <w:tcW w:w="5040" w:type="dxa"/>
            <w:vAlign w:val="bottom"/>
            <w:gridSpan w:val="13"/>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Form of Note for Autodesk, Inc.’s 5.300% Notes due 2035 (incorporated</w:t>
              </w:r>
            </w:hyperlink>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gridSpan w:val="2"/>
            <w:vMerge w:val="restart"/>
          </w:tcPr>
          <w:p>
            <w:pPr>
              <w:jc w:val="center"/>
              <w:ind w:left="365"/>
              <w:spacing w:after="0"/>
              <w:rPr>
                <w:sz w:val="20"/>
                <w:szCs w:val="20"/>
                <w:color w:val="auto"/>
              </w:rPr>
            </w:pPr>
            <w:r>
              <w:rPr>
                <w:rFonts w:ascii="Times New Roman" w:cs="Times New Roman" w:eastAsia="Times New Roman" w:hAnsi="Times New Roman"/>
                <w:sz w:val="16"/>
                <w:szCs w:val="16"/>
                <w:color w:val="auto"/>
              </w:rPr>
              <w:t>000-14338</w:t>
            </w:r>
          </w:p>
        </w:tc>
        <w:tc>
          <w:tcPr>
            <w:tcW w:w="340" w:type="dxa"/>
            <w:vAlign w:val="bottom"/>
          </w:tcPr>
          <w:p>
            <w:pPr>
              <w:spacing w:after="0"/>
              <w:rPr>
                <w:sz w:val="24"/>
                <w:szCs w:val="24"/>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4.2</w:t>
            </w:r>
          </w:p>
        </w:tc>
        <w:tc>
          <w:tcPr>
            <w:tcW w:w="160" w:type="dxa"/>
            <w:vAlign w:val="bottom"/>
          </w:tcPr>
          <w:p>
            <w:pPr>
              <w:spacing w:after="0"/>
              <w:rPr>
                <w:sz w:val="24"/>
                <w:szCs w:val="24"/>
                <w:color w:val="auto"/>
              </w:rPr>
            </w:pPr>
          </w:p>
        </w:tc>
        <w:tc>
          <w:tcPr>
            <w:tcW w:w="1060" w:type="dxa"/>
            <w:vAlign w:val="bottom"/>
            <w:gridSpan w:val="3"/>
            <w:vMerge w:val="restart"/>
          </w:tcPr>
          <w:p>
            <w:pPr>
              <w:jc w:val="center"/>
              <w:ind w:left="101"/>
              <w:spacing w:after="0"/>
              <w:rPr>
                <w:sz w:val="20"/>
                <w:szCs w:val="20"/>
                <w:color w:val="auto"/>
              </w:rPr>
            </w:pPr>
            <w:r>
              <w:rPr>
                <w:rFonts w:ascii="Times New Roman" w:cs="Times New Roman" w:eastAsia="Times New Roman" w:hAnsi="Times New Roman"/>
                <w:sz w:val="16"/>
                <w:szCs w:val="16"/>
                <w:color w:val="auto"/>
                <w:w w:val="98"/>
              </w:rPr>
              <w:t>June 6, 2025</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0" w:type="dxa"/>
            <w:vAlign w:val="bottom"/>
            <w:tcBorders>
              <w:top w:val="single" w:sz="8" w:color="0000FF"/>
            </w:tcBorders>
            <w:gridSpan w:val="9"/>
          </w:tcPr>
          <w:p>
            <w:pPr>
              <w:spacing w:after="0" w:line="138" w:lineRule="exact"/>
              <w:rPr>
                <w:rFonts w:ascii="Times New Roman" w:cs="Times New Roman" w:eastAsia="Times New Roman" w:hAnsi="Times New Roman"/>
                <w:sz w:val="15"/>
                <w:szCs w:val="15"/>
                <w:color w:val="0000FF"/>
              </w:rPr>
            </w:pPr>
            <w:hyperlink r:id="rId94">
              <w:r>
                <w:rPr>
                  <w:rFonts w:ascii="Times New Roman" w:cs="Times New Roman" w:eastAsia="Times New Roman" w:hAnsi="Times New Roman"/>
                  <w:sz w:val="15"/>
                  <w:szCs w:val="15"/>
                  <w:color w:val="0000FF"/>
                </w:rPr>
                <w:t>by reference from Exhibit 4.1 hereto)</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4"/>
                <w:szCs w:val="24"/>
                <w:color w:val="auto"/>
              </w:rPr>
            </w:pPr>
          </w:p>
        </w:tc>
        <w:tc>
          <w:tcPr>
            <w:tcW w:w="44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95">
              <w:r>
                <w:rPr>
                  <w:rFonts w:ascii="Times New Roman" w:cs="Times New Roman" w:eastAsia="Times New Roman" w:hAnsi="Times New Roman"/>
                  <w:sz w:val="16"/>
                  <w:szCs w:val="16"/>
                  <w:color w:val="0000FF"/>
                  <w:w w:val="98"/>
                </w:rPr>
                <w:t>Autodesk, Inc. 2022 Equity Incentive Plan As Amended and Restated</w:t>
              </w:r>
            </w:hyperlink>
          </w:p>
        </w:tc>
        <w:tc>
          <w:tcPr>
            <w:tcW w:w="6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gridSpan w:val="2"/>
          </w:tcPr>
          <w:p>
            <w:pPr>
              <w:jc w:val="center"/>
              <w:ind w:left="365"/>
              <w:spacing w:after="0"/>
              <w:rPr>
                <w:sz w:val="20"/>
                <w:szCs w:val="20"/>
                <w:color w:val="auto"/>
              </w:rPr>
            </w:pPr>
            <w:r>
              <w:rPr>
                <w:rFonts w:ascii="Times New Roman" w:cs="Times New Roman" w:eastAsia="Times New Roman" w:hAnsi="Times New Roman"/>
                <w:sz w:val="16"/>
                <w:szCs w:val="16"/>
                <w:color w:val="auto"/>
              </w:rPr>
              <w:t>000-14338</w:t>
            </w:r>
          </w:p>
        </w:tc>
        <w:tc>
          <w:tcPr>
            <w:tcW w:w="34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160" w:type="dxa"/>
            <w:vAlign w:val="bottom"/>
          </w:tcPr>
          <w:p>
            <w:pPr>
              <w:spacing w:after="0"/>
              <w:rPr>
                <w:sz w:val="24"/>
                <w:szCs w:val="24"/>
                <w:color w:val="auto"/>
              </w:rPr>
            </w:pPr>
          </w:p>
        </w:tc>
        <w:tc>
          <w:tcPr>
            <w:tcW w:w="1060" w:type="dxa"/>
            <w:vAlign w:val="bottom"/>
            <w:gridSpan w:val="3"/>
          </w:tcPr>
          <w:p>
            <w:pPr>
              <w:jc w:val="center"/>
              <w:ind w:left="101"/>
              <w:spacing w:after="0"/>
              <w:rPr>
                <w:sz w:val="20"/>
                <w:szCs w:val="20"/>
                <w:color w:val="auto"/>
              </w:rPr>
            </w:pPr>
            <w:r>
              <w:rPr>
                <w:rFonts w:ascii="Times New Roman" w:cs="Times New Roman" w:eastAsia="Times New Roman" w:hAnsi="Times New Roman"/>
                <w:sz w:val="16"/>
                <w:szCs w:val="16"/>
                <w:color w:val="auto"/>
                <w:w w:val="98"/>
              </w:rPr>
              <w:t>June 20, 2025</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4"/>
                <w:szCs w:val="24"/>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60" w:type="dxa"/>
            <w:vAlign w:val="bottom"/>
            <w:tcBorders>
              <w:top w:val="single" w:sz="8" w:color="0000FF"/>
            </w:tcBorders>
            <w:gridSpan w:val="11"/>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20" w:type="dxa"/>
            <w:vAlign w:val="bottom"/>
            <w:tcBorders>
              <w:top w:val="single" w:sz="8" w:color="0000FF"/>
            </w:tcBorders>
            <w:gridSpan w:val="10"/>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30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pursuant to 18 U.S.C. Section 1350, as adopted pursuant to Section</w:t>
            </w:r>
          </w:p>
        </w:tc>
        <w:tc>
          <w:tcPr>
            <w:tcW w:w="740" w:type="dxa"/>
            <w:vAlign w:val="bottom"/>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906 of</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00" w:type="dxa"/>
            <w:vAlign w:val="bottom"/>
            <w:tcBorders>
              <w:top w:val="single" w:sz="8" w:color="0000FF"/>
            </w:tcBorders>
            <w:gridSpan w:val="12"/>
          </w:tcPr>
          <w:p>
            <w:pPr>
              <w:spacing w:after="0" w:line="138" w:lineRule="exact"/>
              <w:rPr>
                <w:sz w:val="20"/>
                <w:szCs w:val="20"/>
                <w:color w:val="auto"/>
              </w:rPr>
            </w:pPr>
            <w:r>
              <w:rPr>
                <w:rFonts w:ascii="Times New Roman" w:cs="Times New Roman" w:eastAsia="Times New Roman" w:hAnsi="Times New Roman"/>
                <w:sz w:val="15"/>
                <w:szCs w:val="15"/>
                <w:color w:val="0000FF"/>
              </w:rPr>
              <w:t>the Sarbanes-Oxley Act of 2002</w:t>
            </w: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40" w:type="dxa"/>
            <w:vAlign w:val="bottom"/>
            <w:gridSpan w:val="13"/>
          </w:tcPr>
          <w:p>
            <w:pPr>
              <w:spacing w:after="0" w:line="158"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interactive date is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embedded within the Inline XBRL document or included within the Exhibit</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520" w:hanging="274"/>
        <w:spacing w:after="0"/>
        <w:tabs>
          <w:tab w:leader="none" w:pos="152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attachments</w:t>
      </w:r>
    </w:p>
    <w:p>
      <w:pPr>
        <w:spacing w:after="0" w:line="245"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Denotes a management contract or compensatory plan or arrangement.</w:t>
      </w:r>
    </w:p>
    <w:p>
      <w:pPr>
        <w:spacing w:after="0" w:line="27" w:lineRule="exact"/>
        <w:rPr>
          <w:sz w:val="20"/>
          <w:szCs w:val="20"/>
          <w:color w:val="auto"/>
        </w:rPr>
      </w:pPr>
    </w:p>
    <w:p>
      <w:pPr>
        <w:ind w:left="680" w:right="40" w:hanging="657"/>
        <w:spacing w:after="0" w:line="227" w:lineRule="auto"/>
        <w:tabs>
          <w:tab w:leader="none" w:pos="6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74" w:name="page75"/>
    <w:bookmarkEnd w:id="74"/>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 2025</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17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jc w:val="right"/>
        <w:spacing w:after="0"/>
        <w:rPr>
          <w:sz w:val="20"/>
          <w:szCs w:val="20"/>
          <w:color w:val="auto"/>
        </w:rPr>
      </w:pPr>
      <w:r>
        <w:rPr>
          <w:rFonts w:ascii="Times New Roman" w:cs="Times New Roman" w:eastAsia="Times New Roman" w:hAnsi="Times New Roman"/>
          <w:sz w:val="16"/>
          <w:szCs w:val="16"/>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00"/>
          </w:cols>
          <w:pgMar w:left="320" w:top="869" w:right="107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Janesh Moorjani, certify that:</w:t>
      </w:r>
    </w:p>
    <w:p>
      <w:pPr>
        <w:spacing w:after="0" w:line="96"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ind w:left="74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2025,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 2025</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Janesh Moorjani, certify, pursuant to 18 U.S.C. Section 1350, as adopted pursuant to Section 906 of the Sarbanes-Oxley Act of 2002, that the Quarterly Report of Autodesk, Inc. on Form 10-Q for the quarterly period ended July 31, 2025,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 2025</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Roman"/>
      <w:start w:val="2"/>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lvl w:ilvl="1">
      <w:lvlJc w:val="left"/>
      <w:lvlText w:val="%2"/>
      <w:numFmt w:val="decimal"/>
      <w:start w:val="10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94" Type="http://schemas.openxmlformats.org/officeDocument/2006/relationships/hyperlink" Target="https://www.sec.gov/Archives/edgar/data/769397/000119312525137060/d910339dex41.htm" TargetMode="External"/><Relationship Id="rId95" Type="http://schemas.openxmlformats.org/officeDocument/2006/relationships/hyperlink" Target="https://www.sec.gov/Archives/edgar/data/769397/000076939725000075/autodeskinc2022equityinc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2025-09-02T15:27:42Z</dcterms:created>
  <dcterms:modified xsi:type="dcterms:W3CDTF">2025-09-02T15:27:42Z</dcterms:modified>
</cp:coreProperties>
</file>