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22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BLASING KAREN</w:t>
              </w:r>
            </w:hyperlink>
          </w:p>
        </w:tc>
        <w:tc>
          <w:tcPr>
            <w:tcW w:w="14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Autodesk,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ADSK</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220" w:type="dxa"/>
            <w:vAlign w:val="bottom"/>
            <w:gridSpan w:val="3"/>
            <w:vMerge w:val="continue"/>
          </w:tcPr>
          <w:p>
            <w:pPr>
              <w:spacing w:after="0"/>
              <w:rPr>
                <w:sz w:val="6"/>
                <w:szCs w:val="6"/>
                <w:color w:val="auto"/>
              </w:rPr>
            </w:pPr>
          </w:p>
        </w:tc>
        <w:tc>
          <w:tcPr>
            <w:tcW w:w="14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40" w:type="dxa"/>
            <w:vAlign w:val="bottom"/>
            <w:tcBorders>
              <w:bottom w:val="single" w:sz="8" w:color="0000EE"/>
            </w:tcBorders>
          </w:tcPr>
          <w:p>
            <w:pPr>
              <w:spacing w:after="0"/>
              <w:rPr>
                <w:sz w:val="6"/>
                <w:szCs w:val="6"/>
                <w:color w:val="auto"/>
              </w:rPr>
            </w:pPr>
          </w:p>
        </w:tc>
        <w:tc>
          <w:tcPr>
            <w:tcW w:w="25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220" w:type="dxa"/>
            <w:vAlign w:val="bottom"/>
            <w:gridSpan w:val="3"/>
            <w:vMerge w:val="continue"/>
          </w:tcPr>
          <w:p>
            <w:pPr>
              <w:spacing w:after="0"/>
              <w:rPr>
                <w:sz w:val="5"/>
                <w:szCs w:val="5"/>
                <w:color w:val="auto"/>
              </w:rPr>
            </w:pPr>
          </w:p>
        </w:tc>
        <w:tc>
          <w:tcPr>
            <w:tcW w:w="14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tcPr>
          <w:p>
            <w:pPr>
              <w:spacing w:after="0"/>
              <w:rPr>
                <w:sz w:val="5"/>
                <w:szCs w:val="5"/>
                <w:color w:val="auto"/>
              </w:rPr>
            </w:pPr>
          </w:p>
        </w:tc>
        <w:tc>
          <w:tcPr>
            <w:tcW w:w="250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820" w:type="dxa"/>
            <w:vAlign w:val="bottom"/>
            <w:tcBorders>
              <w:top w:val="single" w:sz="8" w:color="0000EE"/>
            </w:tcBorders>
          </w:tcPr>
          <w:p>
            <w:pPr>
              <w:spacing w:after="0"/>
              <w:rPr>
                <w:sz w:val="6"/>
                <w:szCs w:val="6"/>
                <w:color w:val="auto"/>
              </w:rPr>
            </w:pPr>
          </w:p>
        </w:tc>
        <w:tc>
          <w:tcPr>
            <w:tcW w:w="900" w:type="dxa"/>
            <w:vAlign w:val="bottom"/>
            <w:tcBorders>
              <w:top w:val="single" w:sz="8" w:color="0000EE"/>
            </w:tcBorders>
          </w:tcPr>
          <w:p>
            <w:pPr>
              <w:spacing w:after="0"/>
              <w:rPr>
                <w:sz w:val="6"/>
                <w:szCs w:val="6"/>
                <w:color w:val="auto"/>
              </w:rPr>
            </w:pPr>
          </w:p>
        </w:tc>
        <w:tc>
          <w:tcPr>
            <w:tcW w:w="500" w:type="dxa"/>
            <w:vAlign w:val="bottom"/>
          </w:tcPr>
          <w:p>
            <w:pPr>
              <w:spacing w:after="0"/>
              <w:rPr>
                <w:sz w:val="6"/>
                <w:szCs w:val="6"/>
                <w:color w:val="auto"/>
              </w:rPr>
            </w:pPr>
          </w:p>
        </w:tc>
        <w:tc>
          <w:tcPr>
            <w:tcW w:w="14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25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20" w:type="dxa"/>
            <w:vAlign w:val="bottom"/>
            <w:tcBorders>
              <w:top w:val="single" w:sz="8" w:color="EEEEEE"/>
            </w:tcBorders>
          </w:tcPr>
          <w:p>
            <w:pPr>
              <w:spacing w:after="0"/>
              <w:rPr>
                <w:sz w:val="2"/>
                <w:szCs w:val="2"/>
                <w:color w:val="auto"/>
              </w:rPr>
            </w:pPr>
          </w:p>
        </w:tc>
        <w:tc>
          <w:tcPr>
            <w:tcW w:w="900" w:type="dxa"/>
            <w:vAlign w:val="bottom"/>
            <w:tcBorders>
              <w:top w:val="single" w:sz="8" w:color="EEEEEE"/>
            </w:tcBorders>
          </w:tcPr>
          <w:p>
            <w:pPr>
              <w:spacing w:after="0"/>
              <w:rPr>
                <w:sz w:val="2"/>
                <w:szCs w:val="2"/>
                <w:color w:val="auto"/>
              </w:rPr>
            </w:pPr>
          </w:p>
        </w:tc>
        <w:tc>
          <w:tcPr>
            <w:tcW w:w="500" w:type="dxa"/>
            <w:vAlign w:val="bottom"/>
            <w:tcBorders>
              <w:top w:val="single" w:sz="8" w:color="EEEEEE"/>
            </w:tcBorders>
          </w:tcPr>
          <w:p>
            <w:pPr>
              <w:spacing w:after="0"/>
              <w:rPr>
                <w:sz w:val="2"/>
                <w:szCs w:val="2"/>
                <w:color w:val="auto"/>
              </w:rPr>
            </w:pPr>
          </w:p>
        </w:tc>
        <w:tc>
          <w:tcPr>
            <w:tcW w:w="142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8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400" w:type="dxa"/>
            <w:vAlign w:val="bottom"/>
            <w:gridSpan w:val="2"/>
            <w:vMerge w:val="restart"/>
          </w:tcPr>
          <w:p>
            <w:pPr>
              <w:ind w:left="400"/>
              <w:spacing w:after="0"/>
              <w:rPr>
                <w:sz w:val="20"/>
                <w:szCs w:val="20"/>
                <w:color w:val="auto"/>
              </w:rPr>
            </w:pPr>
            <w:r>
              <w:rPr>
                <w:rFonts w:ascii="Arial" w:cs="Arial" w:eastAsia="Arial" w:hAnsi="Arial"/>
                <w:sz w:val="13"/>
                <w:szCs w:val="13"/>
                <w:color w:val="auto"/>
              </w:rPr>
              <w:t>(First)</w:t>
            </w:r>
          </w:p>
        </w:tc>
        <w:tc>
          <w:tcPr>
            <w:tcW w:w="1420" w:type="dxa"/>
            <w:vAlign w:val="bottom"/>
            <w:vMerge w:val="restart"/>
          </w:tcPr>
          <w:p>
            <w:pPr>
              <w:ind w:left="2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1400" w:type="dxa"/>
            <w:vAlign w:val="bottom"/>
            <w:gridSpan w:val="2"/>
            <w:vMerge w:val="continue"/>
          </w:tcPr>
          <w:p>
            <w:pPr>
              <w:spacing w:after="0"/>
              <w:rPr>
                <w:sz w:val="8"/>
                <w:szCs w:val="8"/>
                <w:color w:val="auto"/>
              </w:rPr>
            </w:pPr>
          </w:p>
        </w:tc>
        <w:tc>
          <w:tcPr>
            <w:tcW w:w="1420" w:type="dxa"/>
            <w:vAlign w:val="bottom"/>
            <w:vMerge w:val="continue"/>
          </w:tcPr>
          <w:p>
            <w:pPr>
              <w:spacing w:after="0"/>
              <w:rPr>
                <w:sz w:val="8"/>
                <w:szCs w:val="8"/>
                <w:color w:val="auto"/>
              </w:rPr>
            </w:pPr>
          </w:p>
        </w:tc>
        <w:tc>
          <w:tcPr>
            <w:tcW w:w="14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06/17/2026</w:t>
            </w:r>
          </w:p>
        </w:tc>
        <w:tc>
          <w:tcPr>
            <w:tcW w:w="25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2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ONE MARKET, SUITE 400</w:t>
            </w:r>
          </w:p>
        </w:tc>
        <w:tc>
          <w:tcPr>
            <w:tcW w:w="1420" w:type="dxa"/>
            <w:vAlign w:val="bottom"/>
          </w:tcPr>
          <w:p>
            <w:pPr>
              <w:spacing w:after="0"/>
              <w:rPr>
                <w:sz w:val="11"/>
                <w:szCs w:val="11"/>
                <w:color w:val="auto"/>
              </w:rPr>
            </w:pPr>
          </w:p>
        </w:tc>
        <w:tc>
          <w:tcPr>
            <w:tcW w:w="1400" w:type="dxa"/>
            <w:vAlign w:val="bottom"/>
            <w:gridSpan w:val="3"/>
            <w:vMerge w:val="continue"/>
          </w:tcPr>
          <w:p>
            <w:pPr>
              <w:spacing w:after="0"/>
              <w:rPr>
                <w:sz w:val="11"/>
                <w:szCs w:val="11"/>
                <w:color w:val="auto"/>
              </w:rPr>
            </w:pPr>
          </w:p>
        </w:tc>
        <w:tc>
          <w:tcPr>
            <w:tcW w:w="25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220" w:type="dxa"/>
            <w:vAlign w:val="bottom"/>
            <w:gridSpan w:val="3"/>
            <w:vMerge w:val="continue"/>
          </w:tcPr>
          <w:p>
            <w:pPr>
              <w:spacing w:after="0"/>
              <w:rPr>
                <w:sz w:val="12"/>
                <w:szCs w:val="12"/>
                <w:color w:val="auto"/>
              </w:rPr>
            </w:pP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240" w:type="dxa"/>
            <w:vAlign w:val="bottom"/>
            <w:tcBorders>
              <w:bottom w:val="single" w:sz="8" w:color="2C2C2C"/>
            </w:tcBorders>
          </w:tcPr>
          <w:p>
            <w:pPr>
              <w:spacing w:after="0"/>
              <w:rPr>
                <w:sz w:val="12"/>
                <w:szCs w:val="12"/>
                <w:color w:val="auto"/>
              </w:rPr>
            </w:pPr>
          </w:p>
        </w:tc>
        <w:tc>
          <w:tcPr>
            <w:tcW w:w="2500" w:type="dxa"/>
            <w:vAlign w:val="bottom"/>
            <w:tcBorders>
              <w:bottom w:val="single" w:sz="8" w:color="2C2C2C"/>
            </w:tcBorders>
          </w:tcPr>
          <w:p>
            <w:pPr>
              <w:spacing w:after="0"/>
              <w:rPr>
                <w:sz w:val="12"/>
                <w:szCs w:val="12"/>
                <w:color w:val="auto"/>
              </w:rPr>
            </w:pPr>
          </w:p>
        </w:tc>
        <w:tc>
          <w:tcPr>
            <w:tcW w:w="3300" w:type="dxa"/>
            <w:vAlign w:val="bottom"/>
            <w:tcBorders>
              <w:bottom w:val="single" w:sz="8" w:color="2C2C2C"/>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820" w:type="dxa"/>
            <w:vAlign w:val="bottom"/>
            <w:tcBorders>
              <w:bottom w:val="single" w:sz="8" w:color="9A9A9A"/>
            </w:tcBorders>
          </w:tcPr>
          <w:p>
            <w:pPr>
              <w:spacing w:after="0"/>
              <w:rPr>
                <w:sz w:val="4"/>
                <w:szCs w:val="4"/>
                <w:color w:val="auto"/>
              </w:rPr>
            </w:pPr>
          </w:p>
        </w:tc>
        <w:tc>
          <w:tcPr>
            <w:tcW w:w="900" w:type="dxa"/>
            <w:vAlign w:val="bottom"/>
            <w:tcBorders>
              <w:bottom w:val="single" w:sz="8" w:color="9A9A9A"/>
            </w:tcBorders>
          </w:tcPr>
          <w:p>
            <w:pPr>
              <w:spacing w:after="0"/>
              <w:rPr>
                <w:sz w:val="4"/>
                <w:szCs w:val="4"/>
                <w:color w:val="auto"/>
              </w:rPr>
            </w:pPr>
          </w:p>
        </w:tc>
        <w:tc>
          <w:tcPr>
            <w:tcW w:w="500" w:type="dxa"/>
            <w:vAlign w:val="bottom"/>
            <w:tcBorders>
              <w:bottom w:val="single" w:sz="8" w:color="9A9A9A"/>
            </w:tcBorders>
          </w:tcPr>
          <w:p>
            <w:pPr>
              <w:spacing w:after="0"/>
              <w:rPr>
                <w:sz w:val="4"/>
                <w:szCs w:val="4"/>
                <w:color w:val="auto"/>
              </w:rPr>
            </w:pPr>
          </w:p>
        </w:tc>
        <w:tc>
          <w:tcPr>
            <w:tcW w:w="142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21"/>
        </w:trPr>
        <w:tc>
          <w:tcPr>
            <w:tcW w:w="86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740" w:type="dxa"/>
            <w:vAlign w:val="bottom"/>
            <w:gridSpan w:val="2"/>
            <w:vMerge w:val="continue"/>
          </w:tcPr>
          <w:p>
            <w:pPr>
              <w:spacing w:after="0"/>
              <w:rPr>
                <w:sz w:val="10"/>
                <w:szCs w:val="10"/>
                <w:color w:val="auto"/>
              </w:rPr>
            </w:pPr>
          </w:p>
        </w:tc>
        <w:tc>
          <w:tcPr>
            <w:tcW w:w="33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860" w:type="dxa"/>
            <w:vAlign w:val="bottom"/>
            <w:gridSpan w:val="2"/>
            <w:vMerge w:val="continue"/>
          </w:tcPr>
          <w:p>
            <w:pPr>
              <w:spacing w:after="0"/>
              <w:rPr>
                <w:sz w:val="15"/>
                <w:szCs w:val="15"/>
                <w:color w:val="auto"/>
              </w:rPr>
            </w:pPr>
          </w:p>
        </w:tc>
        <w:tc>
          <w:tcPr>
            <w:tcW w:w="9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1860" w:type="dxa"/>
            <w:vAlign w:val="bottom"/>
          </w:tcPr>
          <w:p>
            <w:pPr>
              <w:ind w:left="80"/>
              <w:spacing w:after="0"/>
              <w:rPr>
                <w:sz w:val="20"/>
                <w:szCs w:val="20"/>
                <w:color w:val="auto"/>
              </w:rPr>
            </w:pPr>
            <w:r>
              <w:rPr>
                <w:rFonts w:ascii="Arial" w:cs="Arial" w:eastAsia="Arial" w:hAnsi="Arial"/>
                <w:sz w:val="13"/>
                <w:szCs w:val="13"/>
                <w:color w:val="auto"/>
              </w:rPr>
              <w:t>Line)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080"/>
          </w:cols>
          <w:pgMar w:left="460" w:top="219" w:right="359" w:bottom="1440" w:gutter="0" w:footer="0" w:header="0"/>
          <w:type w:val="continuous"/>
        </w:sectPr>
      </w:pPr>
    </w:p>
    <w:p>
      <w:pPr>
        <w:ind w:left="120"/>
        <w:spacing w:after="0" w:line="188" w:lineRule="auto"/>
        <w:tabs>
          <w:tab w:leader="none" w:pos="1320" w:val="left"/>
          <w:tab w:leader="none" w:pos="2540" w:val="left"/>
        </w:tabs>
        <w:rPr>
          <w:sz w:val="20"/>
          <w:szCs w:val="20"/>
          <w:color w:val="auto"/>
        </w:rPr>
      </w:pPr>
      <w:r>
        <w:rPr>
          <w:rFonts w:ascii="Times New Roman" w:cs="Times New Roman" w:eastAsia="Times New Roman" w:hAnsi="Times New Roman"/>
          <w:sz w:val="14"/>
          <w:szCs w:val="14"/>
          <w:color w:val="0000FF"/>
          <w:vertAlign w:val="superscript"/>
        </w:rPr>
        <w:t>SAN</w:t>
      </w:r>
      <w:r>
        <w:rPr>
          <w:sz w:val="20"/>
          <w:szCs w:val="20"/>
          <w:color w:val="auto"/>
        </w:rPr>
        <w:tab/>
      </w:r>
      <w:r>
        <w:rPr>
          <w:rFonts w:ascii="Times New Roman" w:cs="Times New Roman" w:eastAsia="Times New Roman" w:hAnsi="Times New Roman"/>
          <w:sz w:val="10"/>
          <w:szCs w:val="10"/>
          <w:color w:val="0000FF"/>
        </w:rPr>
        <w:t>CA</w:t>
      </w:r>
      <w:r>
        <w:rPr>
          <w:sz w:val="20"/>
          <w:szCs w:val="20"/>
          <w:color w:val="auto"/>
        </w:rPr>
        <w:tab/>
      </w:r>
      <w:r>
        <w:rPr>
          <w:rFonts w:ascii="Times New Roman" w:cs="Times New Roman" w:eastAsia="Times New Roman" w:hAnsi="Times New Roman"/>
          <w:sz w:val="14"/>
          <w:szCs w:val="14"/>
          <w:color w:val="0000FF"/>
        </w:rPr>
        <w:t>94105</w:t>
      </w:r>
    </w:p>
    <w:p>
      <w:pPr>
        <w:spacing w:after="0" w:line="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FRANCISCO</w:t>
      </w:r>
    </w:p>
    <w:p>
      <w:pPr>
        <w:spacing w:after="0" w:line="319"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06/17/2026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jc w:val="right"/>
              <w:ind w:right="73"/>
              <w:spacing w:after="0"/>
              <w:rPr>
                <w:sz w:val="20"/>
                <w:szCs w:val="20"/>
                <w:color w:val="auto"/>
              </w:rPr>
            </w:pPr>
            <w:r>
              <w:rPr>
                <w:rFonts w:ascii="Times New Roman" w:cs="Times New Roman" w:eastAsia="Times New Roman" w:hAnsi="Times New Roman"/>
                <w:sz w:val="17"/>
                <w:szCs w:val="17"/>
                <w:color w:val="0000FF"/>
              </w:rPr>
              <w:t>590</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11,228</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06/17/2026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(3)</w:t>
            </w:r>
          </w:p>
        </w:tc>
        <w:tc>
          <w:tcPr>
            <w:tcW w:w="70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1,553</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12,781</w:t>
            </w:r>
            <w:r>
              <w:rPr>
                <w:rFonts w:ascii="Times New Roman" w:cs="Times New Roman" w:eastAsia="Times New Roman" w:hAnsi="Times New Roman"/>
                <w:sz w:val="22"/>
                <w:szCs w:val="22"/>
                <w:color w:val="008000"/>
                <w:vertAlign w:val="superscript"/>
              </w:rPr>
              <w:t>(4)</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entitled to receive one share of Common Stock for each Restricted Stock Unit. These are Restricted Stock Units granted pursuant to the 2026 Director Compensation Policy and under the 2022 Equity Incentive Plan in lieu of cash compensation for services as a director, and vest on the date of the next annual meeting.</w:t>
      </w:r>
    </w:p>
    <w:p>
      <w:pPr>
        <w:spacing w:after="0" w:line="7" w:lineRule="exact"/>
        <w:rPr>
          <w:rFonts w:ascii="Times New Roman" w:cs="Times New Roman" w:eastAsia="Times New Roman" w:hAnsi="Times New Roman"/>
          <w:sz w:val="13"/>
          <w:szCs w:val="13"/>
          <w:color w:val="008000"/>
        </w:rPr>
      </w:pPr>
    </w:p>
    <w:p>
      <w:pPr>
        <w:ind w:left="40" w:right="5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total securities beneficially owned includes 590 shares of unvested Restricted Stock Units and 4,249 shares of vested Restricted Stock Units the distribution of which the reporting person has deferred pursuant to the 2026 Director Compensation Policy and under the 2022 Equity Incentive Plan.</w:t>
      </w:r>
    </w:p>
    <w:p>
      <w:pPr>
        <w:spacing w:after="0" w:line="7" w:lineRule="exact"/>
        <w:rPr>
          <w:rFonts w:ascii="Times New Roman" w:cs="Times New Roman" w:eastAsia="Times New Roman" w:hAnsi="Times New Roman"/>
          <w:sz w:val="13"/>
          <w:szCs w:val="13"/>
          <w:color w:val="008000"/>
        </w:rPr>
      </w:pPr>
    </w:p>
    <w:p>
      <w:pPr>
        <w:ind w:left="40" w:right="6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entitled to receive one share of Common Stock for each Restricted Stock Unit. These Restricted Stock Units, which are granted annually pursuant to the 2026 Director Compensation Policy and under the 2022 Equity Incentive Plan, vest on the date of the next annual meeting.</w:t>
      </w:r>
    </w:p>
    <w:p>
      <w:pPr>
        <w:spacing w:after="0" w:line="7" w:lineRule="exact"/>
        <w:rPr>
          <w:rFonts w:ascii="Times New Roman" w:cs="Times New Roman" w:eastAsia="Times New Roman" w:hAnsi="Times New Roman"/>
          <w:sz w:val="13"/>
          <w:szCs w:val="13"/>
          <w:color w:val="008000"/>
        </w:rPr>
      </w:pPr>
    </w:p>
    <w:p>
      <w:pPr>
        <w:ind w:left="40" w:right="4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total securities beneficially owned includes 2,143 shares of unvested Restricted Stock Units and 4,249 shares of vested Restricted Stock Units the distribution of which the reporting person has deferred pursuant to the 2026 Director Compensation Policy and under the 2022 Equity Incentive Plan.</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Melissa Hoge, Attorney-in-</w:t>
            </w:r>
          </w:p>
        </w:tc>
        <w:tc>
          <w:tcPr>
            <w:tcW w:w="16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06/22/2026</w:t>
            </w:r>
          </w:p>
        </w:tc>
        <w:tc>
          <w:tcPr>
            <w:tcW w:w="0" w:type="dxa"/>
            <w:vAlign w:val="bottom"/>
          </w:tcPr>
          <w:p>
            <w:pPr>
              <w:spacing w:after="0"/>
              <w:rPr>
                <w:sz w:val="1"/>
                <w:szCs w:val="1"/>
                <w:color w:val="auto"/>
              </w:rPr>
            </w:pPr>
          </w:p>
        </w:tc>
      </w:tr>
      <w:tr>
        <w:trPr>
          <w:trHeight w:val="87"/>
        </w:trPr>
        <w:tc>
          <w:tcPr>
            <w:tcW w:w="160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 for Karen Blasing</w:t>
            </w:r>
          </w:p>
        </w:tc>
        <w:tc>
          <w:tcPr>
            <w:tcW w:w="48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600" w:type="dxa"/>
            <w:vAlign w:val="bottom"/>
            <w:tcBorders>
              <w:bottom w:val="single" w:sz="8" w:color="auto"/>
            </w:tcBorders>
            <w:vMerge w:val="continue"/>
          </w:tcPr>
          <w:p>
            <w:pPr>
              <w:spacing w:after="0"/>
              <w:rPr>
                <w:sz w:val="7"/>
                <w:szCs w:val="7"/>
                <w:color w:val="auto"/>
              </w:rPr>
            </w:pPr>
          </w:p>
        </w:tc>
        <w:tc>
          <w:tcPr>
            <w:tcW w:w="4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56358" TargetMode="External"/><Relationship Id="rId14" Type="http://schemas.openxmlformats.org/officeDocument/2006/relationships/hyperlink" Target="http://www.sec.gov/cgi-bin/browse-edgar?action=getcompany&amp;CIK=00007693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2026-06-22T17:20:33Z</dcterms:created>
  <dcterms:modified xsi:type="dcterms:W3CDTF">2026-06-22T17:20:33Z</dcterms:modified>
</cp:coreProperties>
</file>