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0009-8k_autodesk.htm"/>
      <w:bookmarkStart w:id="1" w:name="ksea03000098k_autodesk"/>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7_edei--DocumentType_c20260803__20"/>
      <w:bookmarkEnd w:id="2"/>
      <w:r>
        <w:rPr>
          <w:rFonts w:ascii="Times New Roman;Times;Serif" w:hAnsi="Times New Roman;Times;Serif"/>
          <w:b/>
          <w:i w:val="false"/>
          <w:caps w:val="false"/>
          <w:smallCaps w:val="false"/>
          <w:sz w:val="20"/>
        </w:rPr>
        <w:t>8-K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Report (Date of earliest event reported)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xdx_900_edei--DocumentPeriodEndDate_c202"/>
      <w:bookmarkEnd w:id="3"/>
      <w:r>
        <w:rPr>
          <w:rFonts w:ascii="Times New Roman;Times;Serif" w:hAnsi="Times New Roman;Times;Serif"/>
          <w:b/>
          <w:i w:val="false"/>
          <w:caps w:val="false"/>
          <w:smallCaps w:val="false"/>
          <w:sz w:val="20"/>
        </w:rPr>
        <w:t>August 3,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dx_905_edei--EntityRegistrantName_c2026"/>
      <w:bookmarkEnd w:id="4"/>
      <w:r>
        <w:rPr>
          <w:rFonts w:ascii="Times New Roman;Times;Serif" w:hAnsi="Times New Roman;Times;Serif"/>
          <w:b/>
          <w:i w:val="false"/>
          <w:caps w:val="false"/>
          <w:smallCaps w:val="false"/>
          <w:sz w:val="20"/>
        </w:rPr>
        <w:t>Autodesk, Inc.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both"/>
        <w:rPr>
          <w:caps w:val="false"/>
          <w:smallCaps w:val="false"/>
        </w:rPr>
      </w:pPr>
      <w:r>
        <w:rPr>
          <w:caps w:val="false"/>
          <w:smallCaps w:val="false"/>
        </w:rPr>
        <w:t> </w:t>
      </w:r>
    </w:p>
    <w:tbl>
      <w:tblPr>
        <w:tblW w:w="7245" w:type="dxa"/>
        <w:jc w:val="left"/>
        <w:tblInd w:w="0" w:type="dxa"/>
        <w:tblLayout w:type="fixed"/>
        <w:tblCellMar>
          <w:top w:w="0" w:type="dxa"/>
          <w:left w:w="0" w:type="dxa"/>
          <w:bottom w:w="28" w:type="dxa"/>
          <w:right w:w="0" w:type="dxa"/>
        </w:tblCellMar>
      </w:tblPr>
      <w:tblGrid>
        <w:gridCol w:w="2735"/>
        <w:gridCol w:w="60"/>
        <w:gridCol w:w="2615"/>
        <w:gridCol w:w="60"/>
        <w:gridCol w:w="1775"/>
      </w:tblGrid>
      <w:tr>
        <w:trPr/>
        <w:tc>
          <w:tcPr>
            <w:tcW w:w="2735" w:type="dxa"/>
            <w:tcBorders>
              <w:bottom w:val="single" w:sz="12" w:space="0" w:color="000000"/>
            </w:tcBorders>
            <w:vAlign w:val="center"/>
          </w:tcPr>
          <w:p>
            <w:pPr>
              <w:pStyle w:val="TableContents"/>
              <w:bidi w:val="0"/>
              <w:spacing w:before="0" w:after="283"/>
              <w:jc w:val="center"/>
              <w:rPr>
                <w:b/>
              </w:rPr>
            </w:pPr>
            <w:bookmarkStart w:id="5" w:name="xdx_903_edei--EntityIncorporationStateCo"/>
            <w:bookmarkEnd w:id="5"/>
            <w:r>
              <w:rPr>
                <w:b/>
              </w:rPr>
              <w:t>Delaware</w:t>
            </w:r>
          </w:p>
        </w:tc>
        <w:tc>
          <w:tcPr>
            <w:tcW w:w="60" w:type="dxa"/>
            <w:tcBorders/>
            <w:tcMar>
              <w:bottom w:w="0" w:type="dxa"/>
            </w:tcMar>
            <w:vAlign w:val="center"/>
          </w:tcPr>
          <w:p>
            <w:pPr>
              <w:pStyle w:val="TableContents"/>
              <w:bidi w:val="0"/>
              <w:spacing w:before="0" w:after="283"/>
              <w:jc w:val="center"/>
              <w:rPr/>
            </w:pPr>
            <w:r>
              <w:rPr/>
              <w:t> </w:t>
            </w:r>
          </w:p>
        </w:tc>
        <w:tc>
          <w:tcPr>
            <w:tcW w:w="2615" w:type="dxa"/>
            <w:tcBorders>
              <w:bottom w:val="single" w:sz="12" w:space="0" w:color="000000"/>
            </w:tcBorders>
            <w:vAlign w:val="center"/>
          </w:tcPr>
          <w:p>
            <w:pPr>
              <w:pStyle w:val="TableContents"/>
              <w:bidi w:val="0"/>
              <w:spacing w:before="0" w:after="283"/>
              <w:jc w:val="center"/>
              <w:rPr>
                <w:b/>
              </w:rPr>
            </w:pPr>
            <w:bookmarkStart w:id="6" w:name="xdx_90E_edei--EntityFileNumber_c20260803"/>
            <w:bookmarkEnd w:id="6"/>
            <w:r>
              <w:rPr>
                <w:b/>
              </w:rPr>
              <w:t>000-14338</w:t>
            </w:r>
          </w:p>
        </w:tc>
        <w:tc>
          <w:tcPr>
            <w:tcW w:w="60" w:type="dxa"/>
            <w:tcBorders/>
            <w:tcMar>
              <w:bottom w:w="0" w:type="dxa"/>
            </w:tcMar>
            <w:vAlign w:val="center"/>
          </w:tcPr>
          <w:p>
            <w:pPr>
              <w:pStyle w:val="TableContents"/>
              <w:bidi w:val="0"/>
              <w:spacing w:before="0" w:after="283"/>
              <w:jc w:val="center"/>
              <w:rPr/>
            </w:pPr>
            <w:r>
              <w:rPr/>
              <w:t> </w:t>
            </w:r>
          </w:p>
        </w:tc>
        <w:tc>
          <w:tcPr>
            <w:tcW w:w="1775" w:type="dxa"/>
            <w:tcBorders>
              <w:bottom w:val="single" w:sz="12" w:space="0" w:color="000000"/>
            </w:tcBorders>
            <w:vAlign w:val="center"/>
          </w:tcPr>
          <w:p>
            <w:pPr>
              <w:pStyle w:val="TableContents"/>
              <w:bidi w:val="0"/>
              <w:spacing w:before="0" w:after="283"/>
              <w:jc w:val="center"/>
              <w:rPr>
                <w:b/>
              </w:rPr>
            </w:pPr>
            <w:bookmarkStart w:id="7" w:name="xdx_909_edei--EntityTaxIdentificationNum"/>
            <w:bookmarkEnd w:id="7"/>
            <w:r>
              <w:rPr>
                <w:b/>
              </w:rPr>
              <w:t>94-2819853</w:t>
            </w:r>
          </w:p>
        </w:tc>
      </w:tr>
      <w:tr>
        <w:trPr/>
        <w:tc>
          <w:tcPr>
            <w:tcW w:w="2735" w:type="dxa"/>
            <w:tcBorders/>
            <w:tcMar>
              <w:bottom w:w="0" w:type="dxa"/>
            </w:tcMar>
            <w:vAlign w:val="center"/>
          </w:tcPr>
          <w:p>
            <w:pPr>
              <w:pStyle w:val="TableContents"/>
              <w:bidi w:val="0"/>
              <w:spacing w:before="0" w:after="283"/>
              <w:jc w:val="center"/>
              <w:rPr/>
            </w:pPr>
            <w:r>
              <w:rPr/>
              <w:t>(State or other jurisdiction of</w:t>
              <w:br/>
              <w:t>incorporation)</w:t>
            </w:r>
          </w:p>
        </w:tc>
        <w:tc>
          <w:tcPr>
            <w:tcW w:w="60" w:type="dxa"/>
            <w:tcBorders/>
            <w:tcMar>
              <w:bottom w:w="0" w:type="dxa"/>
            </w:tcMar>
            <w:vAlign w:val="center"/>
          </w:tcPr>
          <w:p>
            <w:pPr>
              <w:pStyle w:val="TableContents"/>
              <w:bidi w:val="0"/>
              <w:spacing w:before="0" w:after="283"/>
              <w:jc w:val="center"/>
              <w:rPr/>
            </w:pPr>
            <w:r>
              <w:rPr/>
              <w:t> </w:t>
            </w:r>
          </w:p>
        </w:tc>
        <w:tc>
          <w:tcPr>
            <w:tcW w:w="2615" w:type="dxa"/>
            <w:tcBorders/>
            <w:tcMar>
              <w:bottom w:w="0" w:type="dxa"/>
            </w:tcMar>
            <w:vAlign w:val="center"/>
          </w:tcPr>
          <w:p>
            <w:pPr>
              <w:pStyle w:val="TableContents"/>
              <w:bidi w:val="0"/>
              <w:spacing w:before="0" w:after="283"/>
              <w:jc w:val="center"/>
              <w:rPr/>
            </w:pPr>
            <w:r>
              <w:rPr/>
              <w:t>(Commission File Number)</w:t>
            </w:r>
          </w:p>
        </w:tc>
        <w:tc>
          <w:tcPr>
            <w:tcW w:w="60" w:type="dxa"/>
            <w:tcBorders/>
            <w:tcMar>
              <w:bottom w:w="0" w:type="dxa"/>
            </w:tcMar>
            <w:vAlign w:val="center"/>
          </w:tcPr>
          <w:p>
            <w:pPr>
              <w:pStyle w:val="TableContents"/>
              <w:bidi w:val="0"/>
              <w:spacing w:before="0" w:after="283"/>
              <w:jc w:val="center"/>
              <w:rPr/>
            </w:pPr>
            <w:r>
              <w:rPr/>
              <w:t> </w:t>
            </w:r>
          </w:p>
        </w:tc>
        <w:tc>
          <w:tcPr>
            <w:tcW w:w="1775" w:type="dxa"/>
            <w:tcBorders/>
            <w:tcMar>
              <w:bottom w:w="0" w:type="dxa"/>
            </w:tcMar>
            <w:vAlign w:val="center"/>
          </w:tcPr>
          <w:p>
            <w:pPr>
              <w:pStyle w:val="TableContents"/>
              <w:bidi w:val="0"/>
              <w:spacing w:before="0" w:after="283"/>
              <w:jc w:val="center"/>
              <w:rPr/>
            </w:pPr>
            <w:r>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900" w:type="dxa"/>
        <w:jc w:val="left"/>
        <w:tblInd w:w="0" w:type="dxa"/>
        <w:tblLayout w:type="fixed"/>
        <w:tblCellMar>
          <w:top w:w="0" w:type="dxa"/>
          <w:left w:w="0" w:type="dxa"/>
          <w:bottom w:w="28" w:type="dxa"/>
          <w:right w:w="0" w:type="dxa"/>
        </w:tblCellMar>
      </w:tblPr>
      <w:tblGrid>
        <w:gridCol w:w="3755"/>
        <w:gridCol w:w="60"/>
        <w:gridCol w:w="1085"/>
      </w:tblGrid>
      <w:tr>
        <w:trPr/>
        <w:tc>
          <w:tcPr>
            <w:tcW w:w="3755" w:type="dxa"/>
            <w:tcBorders>
              <w:bottom w:val="single" w:sz="12" w:space="0" w:color="000000"/>
            </w:tcBorders>
            <w:vAlign w:val="center"/>
          </w:tcPr>
          <w:p>
            <w:pPr>
              <w:pStyle w:val="TableContents"/>
              <w:bidi w:val="0"/>
              <w:spacing w:before="0" w:after="283"/>
              <w:jc w:val="center"/>
              <w:rPr>
                <w:rFonts w:ascii="Times New Roman;Times;Serif" w:hAnsi="Times New Roman;Times;Serif"/>
                <w:b/>
              </w:rPr>
            </w:pPr>
            <w:bookmarkStart w:id="8" w:name="xdx_90C_edei--EntityAddressAddressLine1_"/>
            <w:bookmarkEnd w:id="8"/>
            <w:r>
              <w:rPr>
                <w:rFonts w:ascii="Times New Roman;Times;Serif" w:hAnsi="Times New Roman;Times;Serif"/>
                <w:b/>
              </w:rPr>
              <w:t xml:space="preserve">One Market Street, </w:t>
            </w:r>
            <w:bookmarkStart w:id="9" w:name="xdx_90F_edei--EntityAddressAddressLine2_"/>
            <w:bookmarkEnd w:id="9"/>
            <w:r>
              <w:rPr>
                <w:rFonts w:ascii="Times New Roman;Times;Serif" w:hAnsi="Times New Roman;Times;Serif"/>
                <w:b/>
              </w:rPr>
              <w:t>Ste. 400</w:t>
              <w:br/>
            </w:r>
            <w:bookmarkStart w:id="10" w:name="xdx_901_edei--EntityAddressCityOrTown_c2"/>
            <w:bookmarkEnd w:id="10"/>
            <w:r>
              <w:rPr>
                <w:rFonts w:ascii="Times New Roman;Times;Serif" w:hAnsi="Times New Roman;Times;Serif"/>
                <w:b/>
              </w:rPr>
              <w:t xml:space="preserve">San Francisco, </w:t>
            </w:r>
            <w:bookmarkStart w:id="11" w:name="xdx_900_edei--EntityAddressStateOrProvin"/>
            <w:bookmarkEnd w:id="11"/>
            <w:r>
              <w:rPr>
                <w:rFonts w:ascii="Times New Roman;Times;Serif" w:hAnsi="Times New Roman;Times;Serif"/>
                <w:b/>
              </w:rPr>
              <w:t>California</w:t>
            </w:r>
          </w:p>
        </w:tc>
        <w:tc>
          <w:tcPr>
            <w:tcW w:w="60" w:type="dxa"/>
            <w:tcBorders/>
            <w:tcMar>
              <w:bottom w:w="0" w:type="dxa"/>
            </w:tcMar>
            <w:vAlign w:val="center"/>
          </w:tcPr>
          <w:p>
            <w:pPr>
              <w:pStyle w:val="TableContents"/>
              <w:bidi w:val="0"/>
              <w:spacing w:before="0" w:after="283"/>
              <w:jc w:val="center"/>
              <w:rPr/>
            </w:pPr>
            <w:r>
              <w:rPr/>
              <w:t> </w:t>
            </w:r>
          </w:p>
        </w:tc>
        <w:tc>
          <w:tcPr>
            <w:tcW w:w="1085" w:type="dxa"/>
            <w:tcBorders>
              <w:bottom w:val="single" w:sz="12" w:space="0" w:color="000000"/>
            </w:tcBorders>
            <w:vAlign w:val="center"/>
          </w:tcPr>
          <w:p>
            <w:pPr>
              <w:pStyle w:val="TableContents"/>
              <w:bidi w:val="0"/>
              <w:spacing w:before="0" w:after="283"/>
              <w:jc w:val="center"/>
              <w:rPr>
                <w:rFonts w:ascii="Times New Roman;Times;Serif" w:hAnsi="Times New Roman;Times;Serif"/>
                <w:b/>
              </w:rPr>
            </w:pPr>
            <w:bookmarkStart w:id="12" w:name="xdx_909_edei--EntityAddressPostalZipCode"/>
            <w:bookmarkEnd w:id="12"/>
            <w:r>
              <w:rPr>
                <w:rFonts w:ascii="Times New Roman;Times;Serif" w:hAnsi="Times New Roman;Times;Serif"/>
                <w:b/>
              </w:rPr>
              <w:t>94105</w:t>
            </w:r>
          </w:p>
        </w:tc>
      </w:tr>
      <w:tr>
        <w:trPr/>
        <w:tc>
          <w:tcPr>
            <w:tcW w:w="3755" w:type="dxa"/>
            <w:tcBorders/>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(Address of principal executive offices)</w:t>
            </w:r>
          </w:p>
        </w:tc>
        <w:tc>
          <w:tcPr>
            <w:tcW w:w="60" w:type="dxa"/>
            <w:tcBorders/>
            <w:tcMar>
              <w:bottom w:w="0" w:type="dxa"/>
            </w:tcMar>
            <w:vAlign w:val="center"/>
          </w:tcPr>
          <w:p>
            <w:pPr>
              <w:pStyle w:val="TableContents"/>
              <w:bidi w:val="0"/>
              <w:spacing w:before="0" w:after="283"/>
              <w:jc w:val="left"/>
              <w:rPr/>
            </w:pPr>
            <w:r>
              <w:rPr/>
              <w:t> </w:t>
            </w:r>
          </w:p>
        </w:tc>
        <w:tc>
          <w:tcPr>
            <w:tcW w:w="1085" w:type="dxa"/>
            <w:tcBorders/>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3" w:name="xdx_903_edei--CityAreaCode_c20260803__20"/>
      <w:bookmarkEnd w:id="13"/>
      <w:r>
        <w:rPr>
          <w:rFonts w:ascii="Times New Roman;Times;Serif" w:hAnsi="Times New Roman;Times;Serif"/>
          <w:b/>
          <w:i w:val="false"/>
          <w:caps w:val="false"/>
          <w:smallCaps w:val="false"/>
          <w:sz w:val="20"/>
        </w:rPr>
        <w:t xml:space="preserve">415) </w:t>
      </w:r>
      <w:bookmarkStart w:id="14" w:name="xdx_901_edei--LocalPhoneNumber_c20260803"/>
      <w:bookmarkEnd w:id="14"/>
      <w:r>
        <w:rPr>
          <w:rFonts w:ascii="Times New Roman;Times;Serif" w:hAnsi="Times New Roman;Times;Serif"/>
          <w:b/>
          <w:i w:val="false"/>
          <w:caps w:val="false"/>
          <w:smallCaps w:val="false"/>
          <w:sz w:val="20"/>
        </w:rPr>
        <w:t>507-5000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8770" w:type="dxa"/>
        <w:jc w:val="left"/>
        <w:tblInd w:w="0" w:type="dxa"/>
        <w:tblLayout w:type="fixed"/>
        <w:tblCellMar>
          <w:top w:w="0" w:type="dxa"/>
          <w:left w:w="0" w:type="dxa"/>
          <w:bottom w:w="0" w:type="dxa"/>
          <w:right w:w="0" w:type="dxa"/>
        </w:tblCellMar>
      </w:tblPr>
      <w:tblGrid>
        <w:gridCol w:w="245"/>
        <w:gridCol w:w="8525"/>
      </w:tblGrid>
      <w:tr>
        <w:trPr/>
        <w:tc>
          <w:tcPr>
            <w:tcW w:w="245" w:type="dxa"/>
            <w:tcBorders/>
            <w:vAlign w:val="center"/>
          </w:tcPr>
          <w:p>
            <w:pPr>
              <w:pStyle w:val="TableContents"/>
              <w:bidi w:val="0"/>
              <w:spacing w:before="0" w:after="283"/>
              <w:jc w:val="left"/>
              <w:rPr/>
            </w:pPr>
            <w:bookmarkStart w:id="15" w:name="xdx_902_edei--WrittenCommunications_c202"/>
            <w:bookmarkEnd w:id="15"/>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8800" w:type="dxa"/>
        <w:jc w:val="left"/>
        <w:tblInd w:w="0" w:type="dxa"/>
        <w:tblLayout w:type="fixed"/>
        <w:tblCellMar>
          <w:top w:w="0" w:type="dxa"/>
          <w:left w:w="0" w:type="dxa"/>
          <w:bottom w:w="0" w:type="dxa"/>
          <w:right w:w="0" w:type="dxa"/>
        </w:tblCellMar>
      </w:tblPr>
      <w:tblGrid>
        <w:gridCol w:w="245"/>
        <w:gridCol w:w="8555"/>
      </w:tblGrid>
      <w:tr>
        <w:trPr/>
        <w:tc>
          <w:tcPr>
            <w:tcW w:w="245" w:type="dxa"/>
            <w:tcBorders/>
            <w:vAlign w:val="center"/>
          </w:tcPr>
          <w:p>
            <w:pPr>
              <w:pStyle w:val="TableContents"/>
              <w:bidi w:val="0"/>
              <w:spacing w:before="0" w:after="283"/>
              <w:jc w:val="left"/>
              <w:rPr/>
            </w:pPr>
            <w:bookmarkStart w:id="16" w:name="xdx_905_edei--SolicitingMaterial_c202608"/>
            <w:bookmarkEnd w:id="16"/>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7" w:name="xdx_902_edei--PreCommencementTenderOffer"/>
            <w:bookmarkEnd w:id="17"/>
            <w:r>
              <w:rPr/>
              <w:t>☐</w:t>
            </w:r>
          </w:p>
        </w:tc>
        <w:tc>
          <w:tcPr>
            <w:tcW w:w="9960"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8" w:name="xdx_90A_edei--PreCommencementIssuerTende"/>
            <w:bookmarkEnd w:id="18"/>
            <w:r>
              <w:rPr/>
              <w:t>☐</w:t>
            </w:r>
          </w:p>
        </w:tc>
        <w:tc>
          <w:tcPr>
            <w:tcW w:w="9960"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886"/>
        <w:gridCol w:w="60"/>
        <w:gridCol w:w="1877"/>
        <w:gridCol w:w="60"/>
        <w:gridCol w:w="4322"/>
      </w:tblGrid>
      <w:tr>
        <w:trPr/>
        <w:tc>
          <w:tcPr>
            <w:tcW w:w="3886" w:type="dxa"/>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877" w:type="dxa"/>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Trading Symbol(s)</w:t>
            </w:r>
          </w:p>
        </w:tc>
        <w:tc>
          <w:tcPr>
            <w:tcW w:w="60" w:type="dxa"/>
            <w:tcBorders/>
            <w:tcMar>
              <w:bottom w:w="0" w:type="dxa"/>
            </w:tcMar>
            <w:vAlign w:val="center"/>
          </w:tcPr>
          <w:p>
            <w:pPr>
              <w:pStyle w:val="TableContents"/>
              <w:bidi w:val="0"/>
              <w:spacing w:before="0" w:after="283"/>
              <w:jc w:val="center"/>
              <w:rPr/>
            </w:pPr>
            <w:r>
              <w:rPr/>
              <w:t> </w:t>
            </w:r>
          </w:p>
        </w:tc>
        <w:tc>
          <w:tcPr>
            <w:tcW w:w="4322" w:type="dxa"/>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Name of each exchange on which registered</w:t>
            </w:r>
          </w:p>
        </w:tc>
      </w:tr>
      <w:tr>
        <w:trPr/>
        <w:tc>
          <w:tcPr>
            <w:tcW w:w="3886"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bookmarkStart w:id="19" w:name="xdx_90D_edei--Security12bTitle_c20260803"/>
            <w:bookmarkEnd w:id="19"/>
            <w:r>
              <w:rPr>
                <w:rFonts w:ascii="Times New Roman;Times;Serif" w:hAnsi="Times New Roman;Times;Serif"/>
              </w:rPr>
              <w:t>Common Stock, par value $0.01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877"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bookmarkStart w:id="20" w:name="xdx_905_edei--TradingSymbol_c20260803__2"/>
            <w:bookmarkEnd w:id="20"/>
            <w:r>
              <w:rPr>
                <w:rFonts w:ascii="Times New Roman;Times;Serif" w:hAnsi="Times New Roman;Times;Serif"/>
              </w:rPr>
              <w:t>ADSK</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4322"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 xml:space="preserve">The </w:t>
            </w:r>
            <w:bookmarkStart w:id="21" w:name="xdx_902_edei--SecurityExchangeName_c2026"/>
            <w:bookmarkEnd w:id="21"/>
            <w:r>
              <w:rPr>
                <w:rFonts w:ascii="Times New Roman;Times;Serif" w:hAnsi="Times New Roman;Times;Serif"/>
              </w:rPr>
              <w:t>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C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8.01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Other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3, 2026, Autodesk, Inc. (the “Company”) completed the previously announced acquisition of MaintainX Inc. (“MaintainX”), pursuant to the Agreement and Plan of Merger, dated as of May 28, 2026, by and among the Company, Matterhorn Acquisition Corp., a Delaware corporation and a wholly-owned subsidiary of the Company, MaintainX and Shareholder Representative Services LLC, a Colorado limited liability company, solely in its capacity as the securityholders’ agent.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SIGNATURES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6340" w:type="dxa"/>
        <w:jc w:val="left"/>
        <w:tblInd w:w="0" w:type="dxa"/>
        <w:tblLayout w:type="fixed"/>
        <w:tblCellMar>
          <w:top w:w="0" w:type="dxa"/>
          <w:left w:w="0" w:type="dxa"/>
          <w:bottom w:w="0" w:type="dxa"/>
          <w:right w:w="0" w:type="dxa"/>
        </w:tblCellMar>
      </w:tblPr>
      <w:tblGrid>
        <w:gridCol w:w="75"/>
        <w:gridCol w:w="365"/>
        <w:gridCol w:w="5900"/>
      </w:tblGrid>
      <w:tr>
        <w:trPr/>
        <w:tc>
          <w:tcPr>
            <w:tcW w:w="75" w:type="dxa"/>
            <w:tcBorders/>
            <w:vAlign w:val="center"/>
          </w:tcPr>
          <w:p>
            <w:pPr>
              <w:pStyle w:val="TableContents"/>
              <w:bidi w:val="0"/>
              <w:spacing w:before="0" w:after="283"/>
              <w:jc w:val="left"/>
              <w:rPr/>
            </w:pPr>
            <w:r>
              <w:rPr/>
              <w:t> </w:t>
            </w:r>
          </w:p>
        </w:tc>
        <w:tc>
          <w:tcPr>
            <w:tcW w:w="6265" w:type="dxa"/>
            <w:gridSpan w:val="2"/>
            <w:tcBorders/>
            <w:vAlign w:val="center"/>
          </w:tcPr>
          <w:p>
            <w:pPr>
              <w:pStyle w:val="TableContents"/>
              <w:bidi w:val="0"/>
              <w:spacing w:before="0" w:after="283"/>
              <w:jc w:val="left"/>
              <w:rPr>
                <w:b/>
              </w:rPr>
            </w:pPr>
            <w:r>
              <w:rPr>
                <w:b/>
              </w:rPr>
              <w:t>AUTODESK, INC.</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59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5900" w:type="dxa"/>
            <w:tcBorders>
              <w:bottom w:val="single" w:sz="12" w:space="0" w:color="000000"/>
            </w:tcBorders>
            <w:tcMar>
              <w:bottom w:w="28" w:type="dxa"/>
            </w:tcMar>
            <w:vAlign w:val="center"/>
          </w:tcPr>
          <w:p>
            <w:pPr>
              <w:pStyle w:val="TableContents"/>
              <w:bidi w:val="0"/>
              <w:spacing w:before="0" w:after="283"/>
              <w:jc w:val="left"/>
              <w:rPr/>
            </w:pPr>
            <w:r>
              <w:rPr/>
              <w:t>/s/ Janesh Moorjani</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5900" w:type="dxa"/>
            <w:tcBorders/>
            <w:vAlign w:val="center"/>
          </w:tcPr>
          <w:p>
            <w:pPr>
              <w:pStyle w:val="TableContents"/>
              <w:bidi w:val="0"/>
              <w:spacing w:before="0" w:after="283"/>
              <w:jc w:val="left"/>
              <w:rPr/>
            </w:pPr>
            <w:r>
              <w:rPr/>
              <w:t>Janesh Moorjani</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5900" w:type="dxa"/>
            <w:tcBorders/>
            <w:vAlign w:val="center"/>
          </w:tcPr>
          <w:p>
            <w:pPr>
              <w:pStyle w:val="TableContents"/>
              <w:bidi w:val="0"/>
              <w:spacing w:before="0" w:after="283"/>
              <w:jc w:val="left"/>
              <w:rPr/>
            </w:pPr>
            <w:r>
              <w:rPr/>
              <w:t>Executive Vice President and Chief Financial Officer</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5900" w:type="dxa"/>
            <w:tcBorders/>
            <w:vAlign w:val="center"/>
          </w:tcPr>
          <w:p>
            <w:pPr>
              <w:pStyle w:val="TableContents"/>
              <w:bidi w:val="0"/>
              <w:spacing w:before="0" w:after="283"/>
              <w:jc w:val="left"/>
              <w:rPr/>
            </w:pPr>
            <w:r>
              <w:rPr/>
              <w:t>(Principal Financial Officer and Principal Accounting Officer)</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3,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440</Words>
  <Characters>2472</Characters>
  <CharactersWithSpaces>2918</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