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272-8k_autodesk.htm"/>
      <w:bookmarkStart w:id="1" w:name="ksea02962728k_autodes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7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Autodesk,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13"/>
            <w:bookmarkEnd w:id="6"/>
            <w:r>
              <w:rPr>
                <w:rFonts w:ascii="Times New Roman;Times;Serif" w:hAnsi="Times New Roman;Times;Serif"/>
                <w:b/>
                <w:sz w:val="20"/>
              </w:rPr>
              <w:t>000-14338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94-2819853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8" w:name="xdx_90B_edei--EntityAddressAddressLine1_"/>
            <w:bookmarkEnd w:id="8"/>
            <w:r>
              <w:rPr>
                <w:rFonts w:ascii="Times New Roman;Times;Serif" w:hAnsi="Times New Roman;Times;Serif"/>
                <w:b/>
                <w:sz w:val="20"/>
              </w:rPr>
              <w:t xml:space="preserve">One Market Street, </w:t>
            </w:r>
            <w:bookmarkStart w:id="9" w:name="xdx_905_edei--EntityAddressAddressLine2_"/>
            <w:bookmarkEnd w:id="9"/>
            <w:r>
              <w:rPr>
                <w:rFonts w:ascii="Times New Roman;Times;Serif" w:hAnsi="Times New Roman;Times;Serif"/>
                <w:b/>
                <w:sz w:val="20"/>
              </w:rPr>
              <w:t>Ste. 400</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0" w:name="xdx_907_edei--EntityAddressCityOrTown_c2"/>
            <w:bookmarkEnd w:id="10"/>
            <w:r>
              <w:rPr>
                <w:rFonts w:ascii="Times New Roman;Times;Serif" w:hAnsi="Times New Roman;Times;Serif"/>
                <w:b/>
                <w:sz w:val="20"/>
              </w:rPr>
              <w:t xml:space="preserve">San Francisco, </w:t>
            </w:r>
            <w:bookmarkStart w:id="11" w:name="xdx_902_edei--EntityAddressStateOrProvin"/>
            <w:bookmarkEnd w:id="11"/>
            <w:r>
              <w:rPr>
                <w:rFonts w:ascii="Times New Roman;Times;Serif" w:hAnsi="Times New Roman;Times;Serif"/>
                <w:b/>
                <w:sz w:val="20"/>
              </w:rPr>
              <w:t>California</w:t>
            </w:r>
          </w:p>
        </w:tc>
        <w:tc>
          <w:tcPr>
            <w:tcW w:w="60" w:type="dxa"/>
            <w:tcBorders/>
            <w:vAlign w:val="center"/>
          </w:tcPr>
          <w:p>
            <w:pPr>
              <w:pStyle w:val="TableContents"/>
              <w:bidi w:val="0"/>
              <w:spacing w:before="0" w:after="283"/>
              <w:jc w:val="center"/>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94105</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713__20"/>
      <w:bookmarkEnd w:id="13"/>
      <w:r>
        <w:rPr>
          <w:rFonts w:ascii="Times New Roman;Times;Serif" w:hAnsi="Times New Roman;Times;Serif"/>
          <w:b/>
          <w:i w:val="false"/>
          <w:caps w:val="false"/>
          <w:smallCaps w:val="false"/>
          <w:sz w:val="20"/>
        </w:rPr>
        <w:t xml:space="preserve">415) </w:t>
      </w:r>
      <w:bookmarkStart w:id="14" w:name="xdx_90E_edei--LocalPhoneNumber_c20260713"/>
      <w:bookmarkEnd w:id="14"/>
      <w:r>
        <w:rPr>
          <w:rFonts w:ascii="Times New Roman;Times;Serif" w:hAnsi="Times New Roman;Times;Serif"/>
          <w:b/>
          <w:i w:val="false"/>
          <w:caps w:val="false"/>
          <w:smallCaps w:val="false"/>
          <w:sz w:val="20"/>
        </w:rPr>
        <w:t>507-5000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5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713"/>
            <w:bookmarkEnd w:id="19"/>
            <w:r>
              <w:rPr>
                <w:rFonts w:ascii="Times New Roman;Times;Serif" w:hAnsi="Times New Roman;Times;Serif"/>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0713__2"/>
            <w:bookmarkEnd w:id="20"/>
            <w:r>
              <w:rPr>
                <w:rFonts w:ascii="Times New Roman;Times;Serif" w:hAnsi="Times New Roman;Times;Serif"/>
                <w:sz w:val="20"/>
              </w:rPr>
              <w:t>ADSK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E_edei--SecurityExchangeName_c2026"/>
            <w:bookmarkEnd w:id="21"/>
            <w:r>
              <w:rPr>
                <w:rFonts w:ascii="Times New Roman;Times;Serif" w:hAnsi="Times New Roman;Times;Serif"/>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Paper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2026, Autodesk, Inc., a Delaware corporation (the “Company”), established an unsecured commercial paper program (the “Commercial Paper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Commercial Paper Program, the Company may issue, from time to time, unsecured commercial paper notes with varying maturities not in excess of 365 days from the date of issue (the “Notes”). Amounts available under the Commercial Paper Program may be borrowed, repaid and re-borrowed from time to time, with the maximum aggregate face or principal amount of Notes outstanding at any one time not exceeding $2.0 billion. The Notes will be sold on terms that are customary for the United States commercial paper market and will be at least equal in right of payment with all of the Company’s other unsecured and unsubordinated indebtedness. The Company expects to use the proceeds of the Notes for general corporate purposes, including to partially finance the transactions (the “Transactions”) contemplated by the previously announced Agreement and Plan of Merger, dated as of May 28, 2026, among the Company, Matterhorn Acquisition Corp., a Delaware corporation and a wholly-owned subsidiary of the Company, MaintainX Inc., a Delaware corporation, and Shareholder Representative Services LLC, a Colorado limited liability company, solely in its capacity as the securityholders’ agent. As of the date of this Current Report on Form 8-K, the Company has not issued any Notes. The Commercial Paper Program is backstopped by available capacity under the Company’s existing unsecured revolving credit facility with aggregate commitments of $2.0 billion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to be offered under the Commercial Paper Program have not been and will not be registered under the Securities Act of 1933, as amended, or state securities laws, and may not be offered or sold in the United States absent registration or an applicable exemption from registration requirements. The information contained in this Current Report on Form 8-K shall not constitute an offer to sell or the solicitation of an offer to buy the Notes under the Commercial Paper Program, nor shall there be any sale of the Notes in any jurisdiction in which such offer, solicitation or sale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regarding the Commercial Paper Program, the issuance and sale of the Notes thereunder, the expected use of proceeds from any such sales, including to partially finance the Transactions, as well as all statements that are not historical facts. Actual results could differ materially from those expressed in or implied by the forward-looking statements due to a number of risks and uncertainties, including: the possibility that the conditions to the closing of the Transactions may not be satisfied or waived on the anticipated schedule or at all or that other events may cause the Transactions to not be completed; risks related to the availability, timing and costs of financing the Transactions, including through the Commercial Paper Program; general economic conditions; and the risks and uncertainties described in the Company’s SEC reports, including under the heading “Risk Factors” in its most recent annual report on Form 10-K and quarterly reports on Form 10-Q, which are available at www.sec.gov. The forward-looking statements contained herein speak only as of the date of this report. Except as required by law, the Company does not undertake any obligation to update or revise its forward-looking statements to reflect events or circumstances after the date of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1670"/>
        <w:gridCol w:w="320"/>
        <w:gridCol w:w="5030"/>
      </w:tblGrid>
      <w:tr>
        <w:trPr/>
        <w:tc>
          <w:tcPr>
            <w:tcW w:w="1670" w:type="dxa"/>
            <w:tcBorders/>
            <w:vAlign w:val="center"/>
          </w:tcPr>
          <w:p>
            <w:pPr>
              <w:pStyle w:val="TableContents"/>
              <w:bidi w:val="0"/>
              <w:spacing w:before="0" w:after="283"/>
              <w:jc w:val="left"/>
              <w:rPr/>
            </w:pPr>
            <w:r>
              <w:rPr/>
              <w:t>   </w:t>
            </w:r>
          </w:p>
        </w:tc>
        <w:tc>
          <w:tcPr>
            <w:tcW w:w="53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AUTODESK, INC.</w:t>
            </w:r>
          </w:p>
        </w:tc>
      </w:tr>
      <w:tr>
        <w:trPr/>
        <w:tc>
          <w:tcPr>
            <w:tcW w:w="1670" w:type="dxa"/>
            <w:tcBorders/>
            <w:vAlign w:val="center"/>
          </w:tcPr>
          <w:p>
            <w:pPr>
              <w:pStyle w:val="TableContents"/>
              <w:bidi w:val="0"/>
              <w:spacing w:before="0" w:after="283"/>
              <w:jc w:val="left"/>
              <w:rPr/>
            </w:pPr>
            <w:r>
              <w:rPr/>
              <w:t> </w:t>
            </w:r>
          </w:p>
        </w:tc>
        <w:tc>
          <w:tcPr>
            <w:tcW w:w="5350" w:type="dxa"/>
            <w:gridSpan w:val="2"/>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Janesh Moorjani</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Janesh Moorjani</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July 13, 2026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1016</Words>
  <Characters>5608</Characters>
  <CharactersWithSpaces>6634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